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955" w:rsidRPr="00A46509" w:rsidRDefault="00357A29" w:rsidP="00F6081B">
      <w:pPr>
        <w:jc w:val="center"/>
        <w:rPr>
          <w:rFonts w:ascii="Tw Cen MT" w:hAnsi="Tw Cen MT"/>
          <w:sz w:val="24"/>
          <w:szCs w:val="24"/>
        </w:rPr>
      </w:pPr>
      <w:bookmarkStart w:id="0" w:name="_GoBack"/>
      <w:bookmarkEnd w:id="0"/>
      <w:r w:rsidRPr="00A46509">
        <w:rPr>
          <w:rFonts w:ascii="Tw Cen MT" w:hAnsi="Tw Cen MT"/>
          <w:sz w:val="24"/>
          <w:szCs w:val="24"/>
        </w:rPr>
        <w:t>REGION GRAND EST</w:t>
      </w:r>
    </w:p>
    <w:p w:rsidR="00357A29" w:rsidRPr="00A46509" w:rsidRDefault="00357A29" w:rsidP="00F6081B">
      <w:pPr>
        <w:jc w:val="center"/>
        <w:rPr>
          <w:rFonts w:ascii="Tw Cen MT" w:hAnsi="Tw Cen MT"/>
          <w:sz w:val="24"/>
          <w:szCs w:val="24"/>
        </w:rPr>
      </w:pPr>
      <w:r w:rsidRPr="00A46509">
        <w:rPr>
          <w:rFonts w:ascii="Tw Cen MT" w:hAnsi="Tw Cen MT"/>
          <w:sz w:val="24"/>
          <w:szCs w:val="24"/>
        </w:rPr>
        <w:t>DEPARTEMENT DE MEURTHE ET MOSELLE</w:t>
      </w:r>
    </w:p>
    <w:p w:rsidR="00357A29" w:rsidRPr="00A46509" w:rsidRDefault="00F6081B" w:rsidP="00F6081B">
      <w:pPr>
        <w:pBdr>
          <w:bottom w:val="single" w:sz="4" w:space="1" w:color="auto"/>
        </w:pBdr>
        <w:jc w:val="center"/>
        <w:rPr>
          <w:rFonts w:ascii="Tw Cen MT" w:hAnsi="Tw Cen MT"/>
          <w:sz w:val="24"/>
          <w:szCs w:val="24"/>
        </w:rPr>
      </w:pPr>
      <w:r w:rsidRPr="00A46509">
        <w:rPr>
          <w:rFonts w:ascii="Tw Cen MT" w:hAnsi="Tw Cen MT"/>
          <w:sz w:val="24"/>
          <w:szCs w:val="24"/>
        </w:rPr>
        <w:t>COMMUNAUTE DE COMMUNES MOSELLE ET MADON</w:t>
      </w:r>
    </w:p>
    <w:p w:rsidR="00F6081B" w:rsidRPr="00A46509" w:rsidRDefault="00F6081B" w:rsidP="00F6081B">
      <w:pPr>
        <w:pBdr>
          <w:bottom w:val="single" w:sz="4" w:space="1" w:color="auto"/>
        </w:pBdr>
        <w:jc w:val="center"/>
        <w:rPr>
          <w:rFonts w:ascii="Tw Cen MT" w:hAnsi="Tw Cen MT"/>
          <w:sz w:val="24"/>
          <w:szCs w:val="24"/>
        </w:rPr>
      </w:pPr>
    </w:p>
    <w:p w:rsidR="00F6081B" w:rsidRPr="00A46509" w:rsidRDefault="00F6081B">
      <w:pPr>
        <w:rPr>
          <w:rFonts w:ascii="Tw Cen MT" w:hAnsi="Tw Cen MT"/>
          <w:sz w:val="24"/>
          <w:szCs w:val="24"/>
        </w:rPr>
      </w:pPr>
    </w:p>
    <w:p w:rsidR="00F6081B" w:rsidRPr="00A46509" w:rsidRDefault="00F6081B">
      <w:pPr>
        <w:rPr>
          <w:rFonts w:ascii="Tw Cen MT" w:hAnsi="Tw Cen MT"/>
          <w:sz w:val="24"/>
          <w:szCs w:val="24"/>
        </w:rPr>
      </w:pPr>
    </w:p>
    <w:p w:rsidR="00F6081B" w:rsidRPr="00A46509" w:rsidRDefault="00F6081B">
      <w:pPr>
        <w:rPr>
          <w:rFonts w:ascii="Tw Cen MT" w:hAnsi="Tw Cen MT"/>
          <w:sz w:val="28"/>
          <w:szCs w:val="28"/>
        </w:rPr>
      </w:pPr>
    </w:p>
    <w:p w:rsidR="00357A29" w:rsidRPr="00A46509" w:rsidRDefault="00357A29" w:rsidP="00F6081B">
      <w:pPr>
        <w:jc w:val="center"/>
        <w:rPr>
          <w:rFonts w:ascii="Tw Cen MT" w:hAnsi="Tw Cen MT"/>
          <w:b/>
          <w:sz w:val="28"/>
          <w:szCs w:val="28"/>
        </w:rPr>
      </w:pPr>
      <w:r w:rsidRPr="00A46509">
        <w:rPr>
          <w:rFonts w:ascii="Tw Cen MT" w:hAnsi="Tw Cen MT"/>
          <w:b/>
          <w:sz w:val="28"/>
          <w:szCs w:val="28"/>
        </w:rPr>
        <w:t xml:space="preserve">PLAN LOCAL D’URBANISME DE </w:t>
      </w:r>
      <w:r w:rsidR="00625EF1">
        <w:rPr>
          <w:rFonts w:ascii="Tw Cen MT" w:hAnsi="Tw Cen MT"/>
          <w:b/>
          <w:sz w:val="28"/>
          <w:szCs w:val="28"/>
        </w:rPr>
        <w:t xml:space="preserve">CHAVIGNY </w:t>
      </w:r>
    </w:p>
    <w:p w:rsidR="00F6081B" w:rsidRPr="00A46509" w:rsidRDefault="00F6081B" w:rsidP="00F6081B">
      <w:pPr>
        <w:jc w:val="center"/>
        <w:rPr>
          <w:rFonts w:ascii="Tw Cen MT" w:hAnsi="Tw Cen MT"/>
          <w:b/>
          <w:sz w:val="28"/>
          <w:szCs w:val="28"/>
        </w:rPr>
      </w:pPr>
    </w:p>
    <w:p w:rsidR="00357A29" w:rsidRPr="00A46509" w:rsidRDefault="00B25196" w:rsidP="00F6081B">
      <w:pPr>
        <w:jc w:val="center"/>
        <w:rPr>
          <w:rFonts w:ascii="Tw Cen MT" w:hAnsi="Tw Cen MT"/>
          <w:b/>
          <w:sz w:val="28"/>
          <w:szCs w:val="28"/>
        </w:rPr>
      </w:pPr>
      <w:r w:rsidRPr="00A46509">
        <w:rPr>
          <w:rFonts w:ascii="Tw Cen MT" w:hAnsi="Tw Cen MT"/>
          <w:b/>
          <w:sz w:val="28"/>
          <w:szCs w:val="28"/>
        </w:rPr>
        <w:t>MODIFICATION SIMPLIFIEE n°</w:t>
      </w:r>
      <w:r w:rsidR="00625EF1">
        <w:rPr>
          <w:rFonts w:ascii="Tw Cen MT" w:hAnsi="Tw Cen MT"/>
          <w:b/>
          <w:sz w:val="28"/>
          <w:szCs w:val="28"/>
        </w:rPr>
        <w:t xml:space="preserve"> ? </w:t>
      </w:r>
    </w:p>
    <w:p w:rsidR="00357A29" w:rsidRPr="00A46509" w:rsidRDefault="00357A29">
      <w:pPr>
        <w:rPr>
          <w:rFonts w:ascii="Tw Cen MT" w:hAnsi="Tw Cen MT"/>
          <w:sz w:val="24"/>
          <w:szCs w:val="24"/>
        </w:rPr>
      </w:pPr>
    </w:p>
    <w:p w:rsidR="00357A29" w:rsidRPr="00A46509" w:rsidRDefault="00357A29">
      <w:pPr>
        <w:rPr>
          <w:rFonts w:ascii="Tw Cen MT" w:hAnsi="Tw Cen MT"/>
          <w:sz w:val="24"/>
          <w:szCs w:val="24"/>
        </w:rPr>
      </w:pPr>
    </w:p>
    <w:p w:rsidR="00357A29" w:rsidRPr="00A46509" w:rsidRDefault="00357A29">
      <w:pPr>
        <w:rPr>
          <w:rFonts w:ascii="Tw Cen MT" w:hAnsi="Tw Cen MT"/>
          <w:b/>
          <w:sz w:val="24"/>
          <w:szCs w:val="24"/>
        </w:rPr>
      </w:pPr>
      <w:r w:rsidRPr="00A46509">
        <w:rPr>
          <w:rFonts w:ascii="Tw Cen MT" w:hAnsi="Tw Cen MT"/>
          <w:b/>
          <w:sz w:val="24"/>
          <w:szCs w:val="24"/>
        </w:rPr>
        <w:t>Notice de présentation</w:t>
      </w:r>
      <w:r w:rsidR="00F6081B" w:rsidRPr="00A46509">
        <w:rPr>
          <w:rFonts w:ascii="Tw Cen MT" w:hAnsi="Tw Cen MT"/>
          <w:b/>
          <w:sz w:val="24"/>
          <w:szCs w:val="24"/>
        </w:rPr>
        <w:t> </w:t>
      </w:r>
    </w:p>
    <w:p w:rsidR="00357A29" w:rsidRPr="00A46509" w:rsidRDefault="00357A29" w:rsidP="00C11EA1">
      <w:pPr>
        <w:rPr>
          <w:rFonts w:ascii="Tw Cen MT" w:hAnsi="Tw Cen MT"/>
          <w:b/>
          <w:sz w:val="24"/>
          <w:szCs w:val="24"/>
        </w:rPr>
      </w:pPr>
      <w:proofErr w:type="gramStart"/>
      <w:r w:rsidRPr="00A46509">
        <w:rPr>
          <w:rFonts w:ascii="Tw Cen MT" w:hAnsi="Tw Cen MT"/>
          <w:b/>
          <w:sz w:val="24"/>
          <w:szCs w:val="24"/>
        </w:rPr>
        <w:t>dossier</w:t>
      </w:r>
      <w:proofErr w:type="gramEnd"/>
      <w:r w:rsidRPr="00A46509">
        <w:rPr>
          <w:rFonts w:ascii="Tw Cen MT" w:hAnsi="Tw Cen MT"/>
          <w:b/>
          <w:sz w:val="24"/>
          <w:szCs w:val="24"/>
        </w:rPr>
        <w:t xml:space="preserve"> soumis à </w:t>
      </w:r>
      <w:r w:rsidR="00036957" w:rsidRPr="00A46509">
        <w:rPr>
          <w:rFonts w:ascii="Tw Cen MT" w:hAnsi="Tw Cen MT"/>
          <w:b/>
          <w:sz w:val="24"/>
          <w:szCs w:val="24"/>
        </w:rPr>
        <w:t>avis des personnes publiques associées et mis à disposition du public</w:t>
      </w:r>
    </w:p>
    <w:p w:rsidR="00357A29" w:rsidRPr="00A46509" w:rsidRDefault="00357A29">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A94F7F" w:rsidRPr="00A46509" w:rsidRDefault="00A94F7F" w:rsidP="00F6081B">
      <w:pPr>
        <w:jc w:val="right"/>
        <w:rPr>
          <w:rFonts w:ascii="Tw Cen MT" w:hAnsi="Tw Cen MT"/>
          <w:i/>
          <w:sz w:val="24"/>
          <w:szCs w:val="24"/>
        </w:rPr>
      </w:pPr>
    </w:p>
    <w:p w:rsidR="00357A29" w:rsidRPr="00A46509" w:rsidRDefault="00357A29">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60444B" w:rsidRPr="00A46509" w:rsidRDefault="0060444B">
      <w:pPr>
        <w:rPr>
          <w:rFonts w:ascii="Tw Cen MT" w:hAnsi="Tw Cen MT"/>
          <w:sz w:val="24"/>
          <w:szCs w:val="24"/>
        </w:rPr>
      </w:pPr>
    </w:p>
    <w:p w:rsidR="00357A29" w:rsidRPr="00A46509" w:rsidRDefault="00357A29">
      <w:pPr>
        <w:rPr>
          <w:rFonts w:ascii="Tw Cen MT" w:hAnsi="Tw Cen MT"/>
          <w:sz w:val="24"/>
          <w:szCs w:val="24"/>
        </w:rPr>
      </w:pPr>
    </w:p>
    <w:p w:rsidR="00357A29" w:rsidRPr="00A46509" w:rsidRDefault="00357A29">
      <w:pPr>
        <w:rPr>
          <w:rFonts w:ascii="Tw Cen MT" w:hAnsi="Tw Cen MT"/>
          <w:sz w:val="24"/>
          <w:szCs w:val="24"/>
        </w:rPr>
      </w:pPr>
    </w:p>
    <w:sdt>
      <w:sdtPr>
        <w:rPr>
          <w:rFonts w:ascii="Tw Cen MT" w:eastAsiaTheme="minorHAnsi" w:hAnsi="Tw Cen MT" w:cstheme="minorBidi"/>
          <w:color w:val="auto"/>
          <w:sz w:val="24"/>
          <w:szCs w:val="24"/>
          <w:lang w:eastAsia="en-US"/>
        </w:rPr>
        <w:id w:val="-599714464"/>
        <w:docPartObj>
          <w:docPartGallery w:val="Table of Contents"/>
          <w:docPartUnique/>
        </w:docPartObj>
      </w:sdtPr>
      <w:sdtEndPr>
        <w:rPr>
          <w:b/>
          <w:bCs/>
        </w:rPr>
      </w:sdtEndPr>
      <w:sdtContent>
        <w:p w:rsidR="004D7D2C" w:rsidRPr="00A46509" w:rsidRDefault="004D7D2C">
          <w:pPr>
            <w:pStyle w:val="En-ttedetabledesmatires"/>
            <w:rPr>
              <w:rFonts w:ascii="Tw Cen MT" w:hAnsi="Tw Cen MT"/>
              <w:sz w:val="24"/>
              <w:szCs w:val="24"/>
            </w:rPr>
          </w:pPr>
          <w:r w:rsidRPr="00A46509">
            <w:rPr>
              <w:rFonts w:ascii="Tw Cen MT" w:hAnsi="Tw Cen MT"/>
              <w:sz w:val="24"/>
              <w:szCs w:val="24"/>
            </w:rPr>
            <w:t>Table des matières</w:t>
          </w:r>
        </w:p>
        <w:p w:rsidR="004C559B" w:rsidRPr="00A46509" w:rsidRDefault="004D7D2C">
          <w:pPr>
            <w:pStyle w:val="TM1"/>
            <w:tabs>
              <w:tab w:val="left" w:pos="440"/>
              <w:tab w:val="right" w:leader="dot" w:pos="9062"/>
            </w:tabs>
            <w:rPr>
              <w:rFonts w:ascii="Tw Cen MT" w:eastAsiaTheme="minorEastAsia" w:hAnsi="Tw Cen MT"/>
              <w:noProof/>
              <w:lang w:eastAsia="fr-FR"/>
            </w:rPr>
          </w:pPr>
          <w:r w:rsidRPr="00A46509">
            <w:rPr>
              <w:rFonts w:ascii="Tw Cen MT" w:hAnsi="Tw Cen MT"/>
              <w:sz w:val="24"/>
              <w:szCs w:val="24"/>
            </w:rPr>
            <w:fldChar w:fldCharType="begin"/>
          </w:r>
          <w:r w:rsidRPr="00A46509">
            <w:rPr>
              <w:rFonts w:ascii="Tw Cen MT" w:hAnsi="Tw Cen MT"/>
              <w:sz w:val="24"/>
              <w:szCs w:val="24"/>
            </w:rPr>
            <w:instrText xml:space="preserve"> TOC \o "1-3" \h \z \u </w:instrText>
          </w:r>
          <w:r w:rsidRPr="00A46509">
            <w:rPr>
              <w:rFonts w:ascii="Tw Cen MT" w:hAnsi="Tw Cen MT"/>
              <w:sz w:val="24"/>
              <w:szCs w:val="24"/>
            </w:rPr>
            <w:fldChar w:fldCharType="separate"/>
          </w:r>
          <w:hyperlink w:anchor="_Toc45293376" w:history="1">
            <w:r w:rsidR="004C559B" w:rsidRPr="00A46509">
              <w:rPr>
                <w:rStyle w:val="Lienhypertexte"/>
                <w:rFonts w:ascii="Tw Cen MT" w:hAnsi="Tw Cen MT"/>
                <w:noProof/>
              </w:rPr>
              <w:t>1.</w:t>
            </w:r>
            <w:r w:rsidR="004C559B" w:rsidRPr="00A46509">
              <w:rPr>
                <w:rFonts w:ascii="Tw Cen MT" w:eastAsiaTheme="minorEastAsia" w:hAnsi="Tw Cen MT"/>
                <w:noProof/>
                <w:lang w:eastAsia="fr-FR"/>
              </w:rPr>
              <w:tab/>
            </w:r>
            <w:r w:rsidR="004C559B" w:rsidRPr="00A46509">
              <w:rPr>
                <w:rStyle w:val="Lienhypertexte"/>
                <w:rFonts w:ascii="Tw Cen MT" w:hAnsi="Tw Cen MT"/>
                <w:noProof/>
              </w:rPr>
              <w:t>INTRODUCTION</w:t>
            </w:r>
            <w:r w:rsidR="004C559B" w:rsidRPr="00A46509">
              <w:rPr>
                <w:rFonts w:ascii="Tw Cen MT" w:hAnsi="Tw Cen MT"/>
                <w:noProof/>
                <w:webHidden/>
              </w:rPr>
              <w:tab/>
            </w:r>
            <w:r w:rsidR="004C559B" w:rsidRPr="00A46509">
              <w:rPr>
                <w:rFonts w:ascii="Tw Cen MT" w:hAnsi="Tw Cen MT"/>
                <w:noProof/>
                <w:webHidden/>
              </w:rPr>
              <w:fldChar w:fldCharType="begin"/>
            </w:r>
            <w:r w:rsidR="004C559B" w:rsidRPr="00A46509">
              <w:rPr>
                <w:rFonts w:ascii="Tw Cen MT" w:hAnsi="Tw Cen MT"/>
                <w:noProof/>
                <w:webHidden/>
              </w:rPr>
              <w:instrText xml:space="preserve"> PAGEREF _Toc45293376 \h </w:instrText>
            </w:r>
            <w:r w:rsidR="004C559B" w:rsidRPr="00A46509">
              <w:rPr>
                <w:rFonts w:ascii="Tw Cen MT" w:hAnsi="Tw Cen MT"/>
                <w:noProof/>
                <w:webHidden/>
              </w:rPr>
            </w:r>
            <w:r w:rsidR="004C559B" w:rsidRPr="00A46509">
              <w:rPr>
                <w:rFonts w:ascii="Tw Cen MT" w:hAnsi="Tw Cen MT"/>
                <w:noProof/>
                <w:webHidden/>
              </w:rPr>
              <w:fldChar w:fldCharType="separate"/>
            </w:r>
            <w:r w:rsidR="00C479B6">
              <w:rPr>
                <w:rFonts w:ascii="Tw Cen MT" w:hAnsi="Tw Cen MT"/>
                <w:noProof/>
                <w:webHidden/>
              </w:rPr>
              <w:t>3</w:t>
            </w:r>
            <w:r w:rsidR="004C559B" w:rsidRPr="00A46509">
              <w:rPr>
                <w:rFonts w:ascii="Tw Cen MT" w:hAnsi="Tw Cen MT"/>
                <w:noProof/>
                <w:webHidden/>
              </w:rPr>
              <w:fldChar w:fldCharType="end"/>
            </w:r>
          </w:hyperlink>
        </w:p>
        <w:p w:rsidR="004C559B" w:rsidRPr="00A46509" w:rsidRDefault="00530F7A">
          <w:pPr>
            <w:pStyle w:val="TM1"/>
            <w:tabs>
              <w:tab w:val="left" w:pos="440"/>
              <w:tab w:val="right" w:leader="dot" w:pos="9062"/>
            </w:tabs>
            <w:rPr>
              <w:rFonts w:ascii="Tw Cen MT" w:eastAsiaTheme="minorEastAsia" w:hAnsi="Tw Cen MT"/>
              <w:noProof/>
              <w:lang w:eastAsia="fr-FR"/>
            </w:rPr>
          </w:pPr>
          <w:hyperlink w:anchor="_Toc45293377" w:history="1">
            <w:r w:rsidR="004C559B" w:rsidRPr="00A46509">
              <w:rPr>
                <w:rStyle w:val="Lienhypertexte"/>
                <w:rFonts w:ascii="Tw Cen MT" w:hAnsi="Tw Cen MT"/>
                <w:noProof/>
              </w:rPr>
              <w:t>2.</w:t>
            </w:r>
            <w:r w:rsidR="004C559B" w:rsidRPr="00A46509">
              <w:rPr>
                <w:rFonts w:ascii="Tw Cen MT" w:eastAsiaTheme="minorEastAsia" w:hAnsi="Tw Cen MT"/>
                <w:noProof/>
                <w:lang w:eastAsia="fr-FR"/>
              </w:rPr>
              <w:tab/>
            </w:r>
            <w:r w:rsidR="004C559B" w:rsidRPr="00A46509">
              <w:rPr>
                <w:rStyle w:val="Lienhypertexte"/>
                <w:rFonts w:ascii="Tw Cen MT" w:hAnsi="Tw Cen MT"/>
                <w:noProof/>
              </w:rPr>
              <w:t>PROCEDURE DE MODIFICATION SIMPLIFIEE</w:t>
            </w:r>
            <w:r w:rsidR="004C559B" w:rsidRPr="00A46509">
              <w:rPr>
                <w:rFonts w:ascii="Tw Cen MT" w:hAnsi="Tw Cen MT"/>
                <w:noProof/>
                <w:webHidden/>
              </w:rPr>
              <w:tab/>
            </w:r>
            <w:r w:rsidR="004C559B" w:rsidRPr="00A46509">
              <w:rPr>
                <w:rFonts w:ascii="Tw Cen MT" w:hAnsi="Tw Cen MT"/>
                <w:noProof/>
                <w:webHidden/>
              </w:rPr>
              <w:fldChar w:fldCharType="begin"/>
            </w:r>
            <w:r w:rsidR="004C559B" w:rsidRPr="00A46509">
              <w:rPr>
                <w:rFonts w:ascii="Tw Cen MT" w:hAnsi="Tw Cen MT"/>
                <w:noProof/>
                <w:webHidden/>
              </w:rPr>
              <w:instrText xml:space="preserve"> PAGEREF _Toc45293377 \h </w:instrText>
            </w:r>
            <w:r w:rsidR="004C559B" w:rsidRPr="00A46509">
              <w:rPr>
                <w:rFonts w:ascii="Tw Cen MT" w:hAnsi="Tw Cen MT"/>
                <w:noProof/>
                <w:webHidden/>
              </w:rPr>
            </w:r>
            <w:r w:rsidR="004C559B" w:rsidRPr="00A46509">
              <w:rPr>
                <w:rFonts w:ascii="Tw Cen MT" w:hAnsi="Tw Cen MT"/>
                <w:noProof/>
                <w:webHidden/>
              </w:rPr>
              <w:fldChar w:fldCharType="separate"/>
            </w:r>
            <w:r w:rsidR="00C479B6">
              <w:rPr>
                <w:rFonts w:ascii="Tw Cen MT" w:hAnsi="Tw Cen MT"/>
                <w:noProof/>
                <w:webHidden/>
              </w:rPr>
              <w:t>4</w:t>
            </w:r>
            <w:r w:rsidR="004C559B" w:rsidRPr="00A46509">
              <w:rPr>
                <w:rFonts w:ascii="Tw Cen MT" w:hAnsi="Tw Cen MT"/>
                <w:noProof/>
                <w:webHidden/>
              </w:rPr>
              <w:fldChar w:fldCharType="end"/>
            </w:r>
          </w:hyperlink>
        </w:p>
        <w:p w:rsidR="004C559B" w:rsidRPr="00A46509" w:rsidRDefault="00530F7A">
          <w:pPr>
            <w:pStyle w:val="TM1"/>
            <w:tabs>
              <w:tab w:val="left" w:pos="440"/>
              <w:tab w:val="right" w:leader="dot" w:pos="9062"/>
            </w:tabs>
            <w:rPr>
              <w:rFonts w:ascii="Tw Cen MT" w:eastAsiaTheme="minorEastAsia" w:hAnsi="Tw Cen MT"/>
              <w:noProof/>
              <w:lang w:eastAsia="fr-FR"/>
            </w:rPr>
          </w:pPr>
          <w:hyperlink w:anchor="_Toc45293378" w:history="1">
            <w:r w:rsidR="004C559B" w:rsidRPr="00A46509">
              <w:rPr>
                <w:rStyle w:val="Lienhypertexte"/>
                <w:rFonts w:ascii="Tw Cen MT" w:hAnsi="Tw Cen MT"/>
                <w:noProof/>
              </w:rPr>
              <w:t>3.</w:t>
            </w:r>
            <w:r w:rsidR="004C559B" w:rsidRPr="00A46509">
              <w:rPr>
                <w:rFonts w:ascii="Tw Cen MT" w:eastAsiaTheme="minorEastAsia" w:hAnsi="Tw Cen MT"/>
                <w:noProof/>
                <w:lang w:eastAsia="fr-FR"/>
              </w:rPr>
              <w:tab/>
            </w:r>
            <w:r w:rsidR="004C559B" w:rsidRPr="00A46509">
              <w:rPr>
                <w:rStyle w:val="Lienhypertexte"/>
                <w:rFonts w:ascii="Tw Cen MT" w:hAnsi="Tw Cen MT"/>
                <w:noProof/>
              </w:rPr>
              <w:t>OBJECTIFS ET JUSTIFICATIONS DE LA MODIFICATION SIMPLIFIEE</w:t>
            </w:r>
            <w:r w:rsidR="004C559B" w:rsidRPr="00A46509">
              <w:rPr>
                <w:rFonts w:ascii="Tw Cen MT" w:hAnsi="Tw Cen MT"/>
                <w:noProof/>
                <w:webHidden/>
              </w:rPr>
              <w:tab/>
            </w:r>
            <w:r w:rsidR="004C559B" w:rsidRPr="00A46509">
              <w:rPr>
                <w:rFonts w:ascii="Tw Cen MT" w:hAnsi="Tw Cen MT"/>
                <w:noProof/>
                <w:webHidden/>
              </w:rPr>
              <w:fldChar w:fldCharType="begin"/>
            </w:r>
            <w:r w:rsidR="004C559B" w:rsidRPr="00A46509">
              <w:rPr>
                <w:rFonts w:ascii="Tw Cen MT" w:hAnsi="Tw Cen MT"/>
                <w:noProof/>
                <w:webHidden/>
              </w:rPr>
              <w:instrText xml:space="preserve"> PAGEREF _Toc45293378 \h </w:instrText>
            </w:r>
            <w:r w:rsidR="004C559B" w:rsidRPr="00A46509">
              <w:rPr>
                <w:rFonts w:ascii="Tw Cen MT" w:hAnsi="Tw Cen MT"/>
                <w:noProof/>
                <w:webHidden/>
              </w:rPr>
            </w:r>
            <w:r w:rsidR="004C559B" w:rsidRPr="00A46509">
              <w:rPr>
                <w:rFonts w:ascii="Tw Cen MT" w:hAnsi="Tw Cen MT"/>
                <w:noProof/>
                <w:webHidden/>
              </w:rPr>
              <w:fldChar w:fldCharType="separate"/>
            </w:r>
            <w:r w:rsidR="00C479B6">
              <w:rPr>
                <w:rFonts w:ascii="Tw Cen MT" w:hAnsi="Tw Cen MT"/>
                <w:noProof/>
                <w:webHidden/>
              </w:rPr>
              <w:t>5</w:t>
            </w:r>
            <w:r w:rsidR="004C559B" w:rsidRPr="00A46509">
              <w:rPr>
                <w:rFonts w:ascii="Tw Cen MT" w:hAnsi="Tw Cen MT"/>
                <w:noProof/>
                <w:webHidden/>
              </w:rPr>
              <w:fldChar w:fldCharType="end"/>
            </w:r>
          </w:hyperlink>
        </w:p>
        <w:p w:rsidR="004C559B" w:rsidRPr="00A46509" w:rsidRDefault="00530F7A">
          <w:pPr>
            <w:pStyle w:val="TM1"/>
            <w:tabs>
              <w:tab w:val="left" w:pos="440"/>
              <w:tab w:val="right" w:leader="dot" w:pos="9062"/>
            </w:tabs>
            <w:rPr>
              <w:rFonts w:ascii="Tw Cen MT" w:eastAsiaTheme="minorEastAsia" w:hAnsi="Tw Cen MT"/>
              <w:noProof/>
              <w:lang w:eastAsia="fr-FR"/>
            </w:rPr>
          </w:pPr>
          <w:hyperlink w:anchor="_Toc45293379" w:history="1">
            <w:r w:rsidR="004C559B" w:rsidRPr="00A46509">
              <w:rPr>
                <w:rStyle w:val="Lienhypertexte"/>
                <w:rFonts w:ascii="Tw Cen MT" w:hAnsi="Tw Cen MT"/>
                <w:noProof/>
              </w:rPr>
              <w:t>4.</w:t>
            </w:r>
            <w:r w:rsidR="004C559B" w:rsidRPr="00A46509">
              <w:rPr>
                <w:rFonts w:ascii="Tw Cen MT" w:eastAsiaTheme="minorEastAsia" w:hAnsi="Tw Cen MT"/>
                <w:noProof/>
                <w:lang w:eastAsia="fr-FR"/>
              </w:rPr>
              <w:tab/>
            </w:r>
            <w:r w:rsidR="004C559B" w:rsidRPr="00A46509">
              <w:rPr>
                <w:rStyle w:val="Lienhypertexte"/>
                <w:rFonts w:ascii="Tw Cen MT" w:hAnsi="Tw Cen MT"/>
                <w:noProof/>
              </w:rPr>
              <w:t>EFFETS DE LA MODIFICATION SIMPLIFIEE</w:t>
            </w:r>
            <w:r w:rsidR="004C559B" w:rsidRPr="00A46509">
              <w:rPr>
                <w:rFonts w:ascii="Tw Cen MT" w:hAnsi="Tw Cen MT"/>
                <w:noProof/>
                <w:webHidden/>
              </w:rPr>
              <w:tab/>
            </w:r>
            <w:r w:rsidR="00C479B6">
              <w:rPr>
                <w:rFonts w:ascii="Tw Cen MT" w:hAnsi="Tw Cen MT"/>
                <w:noProof/>
                <w:webHidden/>
              </w:rPr>
              <w:t>6</w:t>
            </w:r>
          </w:hyperlink>
        </w:p>
        <w:p w:rsidR="004C559B" w:rsidRPr="00A46509" w:rsidRDefault="00530F7A">
          <w:pPr>
            <w:pStyle w:val="TM2"/>
            <w:tabs>
              <w:tab w:val="left" w:pos="880"/>
              <w:tab w:val="right" w:leader="dot" w:pos="9062"/>
            </w:tabs>
            <w:rPr>
              <w:rFonts w:ascii="Tw Cen MT" w:eastAsiaTheme="minorEastAsia" w:hAnsi="Tw Cen MT"/>
              <w:noProof/>
              <w:lang w:eastAsia="fr-FR"/>
            </w:rPr>
          </w:pPr>
          <w:hyperlink w:anchor="_Toc45293380" w:history="1">
            <w:r w:rsidR="004C559B" w:rsidRPr="00A46509">
              <w:rPr>
                <w:rStyle w:val="Lienhypertexte"/>
                <w:rFonts w:ascii="Tw Cen MT" w:hAnsi="Tw Cen MT"/>
                <w:noProof/>
              </w:rPr>
              <w:t>4.1</w:t>
            </w:r>
            <w:r w:rsidR="004C559B" w:rsidRPr="00A46509">
              <w:rPr>
                <w:rFonts w:ascii="Tw Cen MT" w:eastAsiaTheme="minorEastAsia" w:hAnsi="Tw Cen MT"/>
                <w:noProof/>
                <w:lang w:eastAsia="fr-FR"/>
              </w:rPr>
              <w:tab/>
            </w:r>
            <w:r w:rsidR="004C559B" w:rsidRPr="00A46509">
              <w:rPr>
                <w:rStyle w:val="Lienhypertexte"/>
                <w:rFonts w:ascii="Tw Cen MT" w:hAnsi="Tw Cen MT"/>
                <w:noProof/>
              </w:rPr>
              <w:t>Projet urbain – PADD</w:t>
            </w:r>
            <w:r w:rsidR="004C559B" w:rsidRPr="00A46509">
              <w:rPr>
                <w:rFonts w:ascii="Tw Cen MT" w:hAnsi="Tw Cen MT"/>
                <w:noProof/>
                <w:webHidden/>
              </w:rPr>
              <w:tab/>
            </w:r>
            <w:r w:rsidR="004C559B" w:rsidRPr="00A46509">
              <w:rPr>
                <w:rFonts w:ascii="Tw Cen MT" w:hAnsi="Tw Cen MT"/>
                <w:noProof/>
                <w:webHidden/>
              </w:rPr>
              <w:fldChar w:fldCharType="begin"/>
            </w:r>
            <w:r w:rsidR="004C559B" w:rsidRPr="00A46509">
              <w:rPr>
                <w:rFonts w:ascii="Tw Cen MT" w:hAnsi="Tw Cen MT"/>
                <w:noProof/>
                <w:webHidden/>
              </w:rPr>
              <w:instrText xml:space="preserve"> PAGEREF _Toc45293380 \h </w:instrText>
            </w:r>
            <w:r w:rsidR="004C559B" w:rsidRPr="00A46509">
              <w:rPr>
                <w:rFonts w:ascii="Tw Cen MT" w:hAnsi="Tw Cen MT"/>
                <w:noProof/>
                <w:webHidden/>
              </w:rPr>
            </w:r>
            <w:r w:rsidR="004C559B" w:rsidRPr="00A46509">
              <w:rPr>
                <w:rFonts w:ascii="Tw Cen MT" w:hAnsi="Tw Cen MT"/>
                <w:noProof/>
                <w:webHidden/>
              </w:rPr>
              <w:fldChar w:fldCharType="separate"/>
            </w:r>
            <w:r w:rsidR="00C479B6">
              <w:rPr>
                <w:rFonts w:ascii="Tw Cen MT" w:hAnsi="Tw Cen MT"/>
                <w:noProof/>
                <w:webHidden/>
              </w:rPr>
              <w:t>6</w:t>
            </w:r>
            <w:r w:rsidR="004C559B" w:rsidRPr="00A46509">
              <w:rPr>
                <w:rFonts w:ascii="Tw Cen MT" w:hAnsi="Tw Cen MT"/>
                <w:noProof/>
                <w:webHidden/>
              </w:rPr>
              <w:fldChar w:fldCharType="end"/>
            </w:r>
          </w:hyperlink>
        </w:p>
        <w:p w:rsidR="004C559B" w:rsidRPr="00A46509" w:rsidRDefault="00530F7A">
          <w:pPr>
            <w:pStyle w:val="TM2"/>
            <w:tabs>
              <w:tab w:val="left" w:pos="880"/>
              <w:tab w:val="right" w:leader="dot" w:pos="9062"/>
            </w:tabs>
            <w:rPr>
              <w:rFonts w:ascii="Tw Cen MT" w:eastAsiaTheme="minorEastAsia" w:hAnsi="Tw Cen MT"/>
              <w:noProof/>
              <w:lang w:eastAsia="fr-FR"/>
            </w:rPr>
          </w:pPr>
          <w:hyperlink w:anchor="_Toc45293381" w:history="1">
            <w:r w:rsidR="004C559B" w:rsidRPr="00A46509">
              <w:rPr>
                <w:rStyle w:val="Lienhypertexte"/>
                <w:rFonts w:ascii="Tw Cen MT" w:hAnsi="Tw Cen MT"/>
                <w:noProof/>
              </w:rPr>
              <w:t>4.2</w:t>
            </w:r>
            <w:r w:rsidR="004C559B" w:rsidRPr="00A46509">
              <w:rPr>
                <w:rFonts w:ascii="Tw Cen MT" w:eastAsiaTheme="minorEastAsia" w:hAnsi="Tw Cen MT"/>
                <w:noProof/>
                <w:lang w:eastAsia="fr-FR"/>
              </w:rPr>
              <w:tab/>
            </w:r>
            <w:r w:rsidR="004C559B" w:rsidRPr="00A46509">
              <w:rPr>
                <w:rStyle w:val="Lienhypertexte"/>
                <w:rFonts w:ascii="Tw Cen MT" w:hAnsi="Tw Cen MT"/>
                <w:noProof/>
              </w:rPr>
              <w:t>Analyse urbaine</w:t>
            </w:r>
            <w:r w:rsidR="004C559B" w:rsidRPr="00A46509">
              <w:rPr>
                <w:rFonts w:ascii="Tw Cen MT" w:hAnsi="Tw Cen MT"/>
                <w:noProof/>
                <w:webHidden/>
              </w:rPr>
              <w:tab/>
            </w:r>
            <w:r w:rsidR="004C559B" w:rsidRPr="00A46509">
              <w:rPr>
                <w:rFonts w:ascii="Tw Cen MT" w:hAnsi="Tw Cen MT"/>
                <w:noProof/>
                <w:webHidden/>
              </w:rPr>
              <w:fldChar w:fldCharType="begin"/>
            </w:r>
            <w:r w:rsidR="004C559B" w:rsidRPr="00A46509">
              <w:rPr>
                <w:rFonts w:ascii="Tw Cen MT" w:hAnsi="Tw Cen MT"/>
                <w:noProof/>
                <w:webHidden/>
              </w:rPr>
              <w:instrText xml:space="preserve"> PAGEREF _Toc45293381 \h </w:instrText>
            </w:r>
            <w:r w:rsidR="004C559B" w:rsidRPr="00A46509">
              <w:rPr>
                <w:rFonts w:ascii="Tw Cen MT" w:hAnsi="Tw Cen MT"/>
                <w:noProof/>
                <w:webHidden/>
              </w:rPr>
            </w:r>
            <w:r w:rsidR="004C559B" w:rsidRPr="00A46509">
              <w:rPr>
                <w:rFonts w:ascii="Tw Cen MT" w:hAnsi="Tw Cen MT"/>
                <w:noProof/>
                <w:webHidden/>
              </w:rPr>
              <w:fldChar w:fldCharType="separate"/>
            </w:r>
            <w:r w:rsidR="00C479B6">
              <w:rPr>
                <w:rFonts w:ascii="Tw Cen MT" w:hAnsi="Tw Cen MT"/>
                <w:noProof/>
                <w:webHidden/>
              </w:rPr>
              <w:t>6</w:t>
            </w:r>
            <w:r w:rsidR="004C559B" w:rsidRPr="00A46509">
              <w:rPr>
                <w:rFonts w:ascii="Tw Cen MT" w:hAnsi="Tw Cen MT"/>
                <w:noProof/>
                <w:webHidden/>
              </w:rPr>
              <w:fldChar w:fldCharType="end"/>
            </w:r>
          </w:hyperlink>
        </w:p>
        <w:p w:rsidR="004C559B" w:rsidRPr="00A46509" w:rsidRDefault="00530F7A">
          <w:pPr>
            <w:pStyle w:val="TM2"/>
            <w:tabs>
              <w:tab w:val="left" w:pos="880"/>
              <w:tab w:val="right" w:leader="dot" w:pos="9062"/>
            </w:tabs>
            <w:rPr>
              <w:rFonts w:ascii="Tw Cen MT" w:eastAsiaTheme="minorEastAsia" w:hAnsi="Tw Cen MT"/>
              <w:noProof/>
              <w:lang w:eastAsia="fr-FR"/>
            </w:rPr>
          </w:pPr>
          <w:hyperlink w:anchor="_Toc45293382" w:history="1">
            <w:r w:rsidR="004C559B" w:rsidRPr="00A46509">
              <w:rPr>
                <w:rStyle w:val="Lienhypertexte"/>
                <w:rFonts w:ascii="Tw Cen MT" w:hAnsi="Tw Cen MT"/>
                <w:noProof/>
              </w:rPr>
              <w:t>4.3</w:t>
            </w:r>
            <w:r w:rsidR="004C559B" w:rsidRPr="00A46509">
              <w:rPr>
                <w:rFonts w:ascii="Tw Cen MT" w:eastAsiaTheme="minorEastAsia" w:hAnsi="Tw Cen MT"/>
                <w:noProof/>
                <w:lang w:eastAsia="fr-FR"/>
              </w:rPr>
              <w:tab/>
            </w:r>
            <w:r w:rsidR="004C559B" w:rsidRPr="00A46509">
              <w:rPr>
                <w:rStyle w:val="Lienhypertexte"/>
                <w:rFonts w:ascii="Tw Cen MT" w:hAnsi="Tw Cen MT"/>
                <w:noProof/>
              </w:rPr>
              <w:t>Milieux naturels et risques</w:t>
            </w:r>
            <w:r w:rsidR="004C559B" w:rsidRPr="00A46509">
              <w:rPr>
                <w:rFonts w:ascii="Tw Cen MT" w:hAnsi="Tw Cen MT"/>
                <w:noProof/>
                <w:webHidden/>
              </w:rPr>
              <w:tab/>
            </w:r>
            <w:r w:rsidR="004C559B" w:rsidRPr="00A46509">
              <w:rPr>
                <w:rFonts w:ascii="Tw Cen MT" w:hAnsi="Tw Cen MT"/>
                <w:noProof/>
                <w:webHidden/>
              </w:rPr>
              <w:fldChar w:fldCharType="begin"/>
            </w:r>
            <w:r w:rsidR="004C559B" w:rsidRPr="00A46509">
              <w:rPr>
                <w:rFonts w:ascii="Tw Cen MT" w:hAnsi="Tw Cen MT"/>
                <w:noProof/>
                <w:webHidden/>
              </w:rPr>
              <w:instrText xml:space="preserve"> PAGEREF _Toc45293382 \h </w:instrText>
            </w:r>
            <w:r w:rsidR="004C559B" w:rsidRPr="00A46509">
              <w:rPr>
                <w:rFonts w:ascii="Tw Cen MT" w:hAnsi="Tw Cen MT"/>
                <w:noProof/>
                <w:webHidden/>
              </w:rPr>
            </w:r>
            <w:r w:rsidR="004C559B" w:rsidRPr="00A46509">
              <w:rPr>
                <w:rFonts w:ascii="Tw Cen MT" w:hAnsi="Tw Cen MT"/>
                <w:noProof/>
                <w:webHidden/>
              </w:rPr>
              <w:fldChar w:fldCharType="separate"/>
            </w:r>
            <w:r w:rsidR="00C479B6">
              <w:rPr>
                <w:rFonts w:ascii="Tw Cen MT" w:hAnsi="Tw Cen MT"/>
                <w:noProof/>
                <w:webHidden/>
              </w:rPr>
              <w:t>6</w:t>
            </w:r>
            <w:r w:rsidR="004C559B" w:rsidRPr="00A46509">
              <w:rPr>
                <w:rFonts w:ascii="Tw Cen MT" w:hAnsi="Tw Cen MT"/>
                <w:noProof/>
                <w:webHidden/>
              </w:rPr>
              <w:fldChar w:fldCharType="end"/>
            </w:r>
          </w:hyperlink>
        </w:p>
        <w:p w:rsidR="004D7D2C" w:rsidRPr="00A46509" w:rsidRDefault="004D7D2C">
          <w:pPr>
            <w:rPr>
              <w:rFonts w:ascii="Tw Cen MT" w:hAnsi="Tw Cen MT"/>
              <w:sz w:val="24"/>
              <w:szCs w:val="24"/>
            </w:rPr>
          </w:pPr>
          <w:r w:rsidRPr="00A46509">
            <w:rPr>
              <w:rFonts w:ascii="Tw Cen MT" w:hAnsi="Tw Cen MT"/>
              <w:b/>
              <w:bCs/>
              <w:sz w:val="24"/>
              <w:szCs w:val="24"/>
            </w:rPr>
            <w:fldChar w:fldCharType="end"/>
          </w:r>
        </w:p>
      </w:sdtContent>
    </w:sdt>
    <w:p w:rsidR="00357A29" w:rsidRPr="00A46509" w:rsidRDefault="00357A29">
      <w:pPr>
        <w:rPr>
          <w:rFonts w:ascii="Tw Cen MT" w:hAnsi="Tw Cen MT"/>
          <w:sz w:val="24"/>
          <w:szCs w:val="24"/>
        </w:rPr>
      </w:pPr>
    </w:p>
    <w:p w:rsidR="004D7D2C" w:rsidRPr="00A46509" w:rsidRDefault="004D7D2C">
      <w:pPr>
        <w:rPr>
          <w:rFonts w:ascii="Tw Cen MT" w:hAnsi="Tw Cen MT"/>
          <w:sz w:val="24"/>
          <w:szCs w:val="24"/>
        </w:rPr>
      </w:pPr>
    </w:p>
    <w:p w:rsidR="004D7D2C" w:rsidRPr="00A46509" w:rsidRDefault="004D7D2C">
      <w:pPr>
        <w:rPr>
          <w:rFonts w:ascii="Tw Cen MT" w:hAnsi="Tw Cen MT"/>
          <w:sz w:val="24"/>
          <w:szCs w:val="24"/>
        </w:rPr>
      </w:pPr>
    </w:p>
    <w:p w:rsidR="004D7D2C" w:rsidRPr="00A46509" w:rsidRDefault="004D7D2C">
      <w:pPr>
        <w:rPr>
          <w:rFonts w:ascii="Tw Cen MT" w:hAnsi="Tw Cen MT"/>
          <w:sz w:val="24"/>
          <w:szCs w:val="24"/>
        </w:rPr>
      </w:pPr>
      <w:r w:rsidRPr="00A46509">
        <w:rPr>
          <w:rFonts w:ascii="Tw Cen MT" w:hAnsi="Tw Cen MT"/>
          <w:sz w:val="24"/>
          <w:szCs w:val="24"/>
        </w:rPr>
        <w:br w:type="page"/>
      </w:r>
    </w:p>
    <w:p w:rsidR="004D7D2C" w:rsidRPr="00A46509" w:rsidRDefault="004D7D2C" w:rsidP="004F6F65">
      <w:pPr>
        <w:pStyle w:val="Titre1"/>
        <w:numPr>
          <w:ilvl w:val="0"/>
          <w:numId w:val="1"/>
        </w:numPr>
        <w:rPr>
          <w:rFonts w:ascii="Tw Cen MT" w:hAnsi="Tw Cen MT"/>
          <w:sz w:val="24"/>
          <w:szCs w:val="24"/>
        </w:rPr>
      </w:pPr>
      <w:bookmarkStart w:id="1" w:name="_Toc45293376"/>
      <w:r w:rsidRPr="00A46509">
        <w:rPr>
          <w:rFonts w:ascii="Tw Cen MT" w:hAnsi="Tw Cen MT"/>
          <w:sz w:val="24"/>
          <w:szCs w:val="24"/>
        </w:rPr>
        <w:lastRenderedPageBreak/>
        <w:t>INTRODUCTION</w:t>
      </w:r>
      <w:bookmarkEnd w:id="1"/>
    </w:p>
    <w:p w:rsidR="004D7D2C" w:rsidRPr="00A46509" w:rsidRDefault="004D7D2C" w:rsidP="004D7D2C">
      <w:pPr>
        <w:rPr>
          <w:rFonts w:ascii="Tw Cen MT" w:hAnsi="Tw Cen MT"/>
          <w:sz w:val="24"/>
          <w:szCs w:val="24"/>
        </w:rPr>
      </w:pPr>
    </w:p>
    <w:p w:rsidR="004D7D2C" w:rsidRPr="00A46509" w:rsidRDefault="004D7D2C" w:rsidP="00E41A2C">
      <w:pPr>
        <w:jc w:val="both"/>
        <w:rPr>
          <w:rFonts w:ascii="Tw Cen MT" w:hAnsi="Tw Cen MT"/>
          <w:sz w:val="24"/>
          <w:szCs w:val="24"/>
        </w:rPr>
      </w:pPr>
    </w:p>
    <w:p w:rsidR="00625EF1" w:rsidRDefault="004D7D2C" w:rsidP="00625EF1">
      <w:pPr>
        <w:jc w:val="both"/>
        <w:rPr>
          <w:rFonts w:ascii="Tw Cen MT" w:hAnsi="Tw Cen MT"/>
        </w:rPr>
      </w:pPr>
      <w:r w:rsidRPr="00A46509">
        <w:rPr>
          <w:rFonts w:ascii="Tw Cen MT" w:hAnsi="Tw Cen MT"/>
          <w:sz w:val="24"/>
          <w:szCs w:val="24"/>
        </w:rPr>
        <w:t xml:space="preserve">La commune de </w:t>
      </w:r>
      <w:r w:rsidR="00625EF1">
        <w:rPr>
          <w:rFonts w:ascii="Tw Cen MT" w:hAnsi="Tw Cen MT"/>
          <w:sz w:val="24"/>
          <w:szCs w:val="24"/>
        </w:rPr>
        <w:t>Chavigny</w:t>
      </w:r>
      <w:r w:rsidRPr="00A46509">
        <w:rPr>
          <w:rFonts w:ascii="Tw Cen MT" w:hAnsi="Tw Cen MT"/>
          <w:sz w:val="24"/>
          <w:szCs w:val="24"/>
        </w:rPr>
        <w:t xml:space="preserve"> dispose d’un plan local d’urbanisme (PL</w:t>
      </w:r>
      <w:r w:rsidR="00A3700C" w:rsidRPr="00A46509">
        <w:rPr>
          <w:rFonts w:ascii="Tw Cen MT" w:hAnsi="Tw Cen MT"/>
          <w:sz w:val="24"/>
          <w:szCs w:val="24"/>
        </w:rPr>
        <w:t xml:space="preserve">U) approuvé </w:t>
      </w:r>
      <w:r w:rsidR="00625EF1" w:rsidRPr="00FB336F">
        <w:rPr>
          <w:rFonts w:ascii="Tw Cen MT" w:hAnsi="Tw Cen MT"/>
        </w:rPr>
        <w:t>le 28 novembre 2019</w:t>
      </w:r>
      <w:r w:rsidR="00625EF1">
        <w:rPr>
          <w:rFonts w:ascii="Tw Cen MT" w:hAnsi="Tw Cen MT"/>
        </w:rPr>
        <w:t xml:space="preserve"> et modifié une première fois, le 15 octobre </w:t>
      </w:r>
      <w:proofErr w:type="gramStart"/>
      <w:r w:rsidR="00625EF1">
        <w:rPr>
          <w:rFonts w:ascii="Tw Cen MT" w:hAnsi="Tw Cen MT"/>
        </w:rPr>
        <w:t>2020</w:t>
      </w:r>
      <w:r w:rsidR="00625EF1" w:rsidRPr="003E03A7">
        <w:rPr>
          <w:rFonts w:ascii="Tw Cen MT" w:hAnsi="Tw Cen MT"/>
        </w:rPr>
        <w:t>;</w:t>
      </w:r>
      <w:proofErr w:type="gramEnd"/>
      <w:r w:rsidR="00625EF1" w:rsidRPr="003E03A7">
        <w:rPr>
          <w:rFonts w:ascii="Tw Cen MT" w:hAnsi="Tw Cen MT"/>
        </w:rPr>
        <w:t xml:space="preserve"> </w:t>
      </w:r>
    </w:p>
    <w:p w:rsidR="00625EF1" w:rsidRDefault="00625EF1" w:rsidP="00625EF1">
      <w:pPr>
        <w:jc w:val="both"/>
        <w:rPr>
          <w:rFonts w:ascii="Tw Cen MT" w:hAnsi="Tw Cen MT"/>
        </w:rPr>
      </w:pPr>
      <w:r>
        <w:rPr>
          <w:rFonts w:ascii="Tw Cen MT" w:hAnsi="Tw Cen MT"/>
        </w:rPr>
        <w:t>L’évolution</w:t>
      </w:r>
      <w:r w:rsidRPr="00960C74">
        <w:rPr>
          <w:rFonts w:ascii="Tw Cen MT" w:hAnsi="Tw Cen MT"/>
        </w:rPr>
        <w:t xml:space="preserve"> envisagée du plan local d’urbanisme a pour objet d’adapter la rédaction du règlement </w:t>
      </w:r>
      <w:r>
        <w:rPr>
          <w:rFonts w:ascii="Tw Cen MT" w:hAnsi="Tw Cen MT"/>
        </w:rPr>
        <w:t xml:space="preserve">sur la hauteur des constructions en zone 1 </w:t>
      </w:r>
      <w:proofErr w:type="spellStart"/>
      <w:r>
        <w:rPr>
          <w:rFonts w:ascii="Tw Cen MT" w:hAnsi="Tw Cen MT"/>
        </w:rPr>
        <w:t>AUya</w:t>
      </w:r>
      <w:proofErr w:type="spellEnd"/>
      <w:r>
        <w:rPr>
          <w:rFonts w:ascii="Tw Cen MT" w:hAnsi="Tw Cen MT"/>
        </w:rPr>
        <w:t xml:space="preserve">. </w:t>
      </w:r>
      <w:r w:rsidRPr="00960C74">
        <w:rPr>
          <w:rFonts w:ascii="Tw Cen MT" w:hAnsi="Tw Cen MT"/>
        </w:rPr>
        <w:t xml:space="preserve"> </w:t>
      </w:r>
    </w:p>
    <w:p w:rsidR="00625EF1" w:rsidRDefault="00625EF1" w:rsidP="00E41A2C">
      <w:pPr>
        <w:jc w:val="both"/>
        <w:rPr>
          <w:rFonts w:ascii="Tw Cen MT" w:hAnsi="Tw Cen MT"/>
        </w:rPr>
      </w:pPr>
      <w:r w:rsidRPr="00960C74">
        <w:rPr>
          <w:rFonts w:ascii="Tw Cen MT" w:hAnsi="Tw Cen MT"/>
        </w:rPr>
        <w:t>Considérant que cette modification n’a pas pour conséquence de changer les orientations du plan d’aménagement et</w:t>
      </w:r>
      <w:r>
        <w:rPr>
          <w:rFonts w:ascii="Tw Cen MT" w:hAnsi="Tw Cen MT"/>
        </w:rPr>
        <w:t xml:space="preserve"> de développement durables (</w:t>
      </w:r>
      <w:r w:rsidRPr="00960C74">
        <w:rPr>
          <w:rFonts w:ascii="Tw Cen MT" w:hAnsi="Tw Cen MT"/>
        </w:rPr>
        <w:t xml:space="preserve">PADD), n’induit pas de majorations des droits à construire </w:t>
      </w:r>
      <w:r>
        <w:rPr>
          <w:rFonts w:ascii="Tw Cen MT" w:hAnsi="Tw Cen MT"/>
        </w:rPr>
        <w:t xml:space="preserve">de plus de 20% sur la zone mais a pour seule motivation des adaptations mineures </w:t>
      </w:r>
      <w:r w:rsidRPr="00960C74">
        <w:rPr>
          <w:rFonts w:ascii="Tw Cen MT" w:hAnsi="Tw Cen MT"/>
        </w:rPr>
        <w:t>du règlement écrit du PLU</w:t>
      </w:r>
      <w:r w:rsidR="00686F28">
        <w:rPr>
          <w:rFonts w:ascii="Tw Cen MT" w:hAnsi="Tw Cen MT"/>
        </w:rPr>
        <w:t xml:space="preserve">, la procédure de la modification simplifiée est retenue. </w:t>
      </w:r>
    </w:p>
    <w:p w:rsidR="00471152" w:rsidRDefault="00DD6F90" w:rsidP="00686F28">
      <w:pPr>
        <w:jc w:val="both"/>
        <w:rPr>
          <w:rFonts w:ascii="Tw Cen MT" w:hAnsi="Tw Cen MT"/>
          <w:sz w:val="24"/>
          <w:szCs w:val="24"/>
        </w:rPr>
      </w:pPr>
      <w:r w:rsidRPr="00A46509">
        <w:rPr>
          <w:rFonts w:ascii="Tw Cen MT" w:hAnsi="Tw Cen MT"/>
          <w:sz w:val="24"/>
          <w:szCs w:val="24"/>
        </w:rPr>
        <w:t>En raison de la prise de compétence en planification urbaine en novembre 2016 par la CCMM, la procédure</w:t>
      </w:r>
      <w:r w:rsidR="00A3700C" w:rsidRPr="00A46509">
        <w:rPr>
          <w:rFonts w:ascii="Tw Cen MT" w:hAnsi="Tw Cen MT"/>
          <w:sz w:val="24"/>
          <w:szCs w:val="24"/>
        </w:rPr>
        <w:t xml:space="preserve"> </w:t>
      </w:r>
      <w:r w:rsidR="003E65ED" w:rsidRPr="00A46509">
        <w:rPr>
          <w:rFonts w:ascii="Tw Cen MT" w:hAnsi="Tw Cen MT"/>
          <w:sz w:val="24"/>
          <w:szCs w:val="24"/>
        </w:rPr>
        <w:t>est</w:t>
      </w:r>
      <w:r w:rsidR="00471152" w:rsidRPr="00A46509">
        <w:rPr>
          <w:rFonts w:ascii="Tw Cen MT" w:hAnsi="Tw Cen MT"/>
          <w:sz w:val="24"/>
          <w:szCs w:val="24"/>
        </w:rPr>
        <w:t xml:space="preserve"> </w:t>
      </w:r>
      <w:r w:rsidR="004C37B8" w:rsidRPr="00A46509">
        <w:rPr>
          <w:rFonts w:ascii="Tw Cen MT" w:hAnsi="Tw Cen MT"/>
          <w:sz w:val="24"/>
          <w:szCs w:val="24"/>
        </w:rPr>
        <w:t xml:space="preserve">prescrite </w:t>
      </w:r>
      <w:r w:rsidR="00471152" w:rsidRPr="00A46509">
        <w:rPr>
          <w:rFonts w:ascii="Tw Cen MT" w:hAnsi="Tw Cen MT"/>
          <w:sz w:val="24"/>
          <w:szCs w:val="24"/>
        </w:rPr>
        <w:t xml:space="preserve">par </w:t>
      </w:r>
      <w:r w:rsidR="00723BAF" w:rsidRPr="00A46509">
        <w:rPr>
          <w:rFonts w:ascii="Tw Cen MT" w:hAnsi="Tw Cen MT"/>
          <w:sz w:val="24"/>
          <w:szCs w:val="24"/>
        </w:rPr>
        <w:t>arrêté du président</w:t>
      </w:r>
      <w:r w:rsidR="00686F28">
        <w:rPr>
          <w:rFonts w:ascii="Tw Cen MT" w:hAnsi="Tw Cen MT"/>
          <w:sz w:val="24"/>
          <w:szCs w:val="24"/>
        </w:rPr>
        <w:t xml:space="preserve"> en date du 26 janvier 2024. </w:t>
      </w:r>
    </w:p>
    <w:p w:rsidR="00686F28" w:rsidRDefault="00686F28" w:rsidP="00686F28">
      <w:pPr>
        <w:jc w:val="both"/>
        <w:rPr>
          <w:rFonts w:ascii="Tw Cen MT" w:hAnsi="Tw Cen MT"/>
          <w:sz w:val="24"/>
          <w:szCs w:val="24"/>
        </w:rPr>
      </w:pPr>
    </w:p>
    <w:p w:rsidR="00686F28" w:rsidRPr="00A46509" w:rsidRDefault="00686F28" w:rsidP="00686F28">
      <w:pPr>
        <w:jc w:val="both"/>
        <w:rPr>
          <w:rFonts w:ascii="Tw Cen MT" w:hAnsi="Tw Cen MT"/>
          <w:sz w:val="24"/>
          <w:szCs w:val="24"/>
        </w:rPr>
      </w:pPr>
      <w:r>
        <w:rPr>
          <w:rFonts w:ascii="Tw Cen MT" w:hAnsi="Tw Cen MT"/>
          <w:sz w:val="24"/>
          <w:szCs w:val="24"/>
        </w:rPr>
        <w:t xml:space="preserve">Les mesures d’affichage et de publicité par voie de presse ont été réalisées, de même que les personnes publiques associées ont été informées de la prescription de la procédure. </w:t>
      </w:r>
    </w:p>
    <w:p w:rsidR="00036957" w:rsidRPr="00686F28" w:rsidRDefault="00686F28" w:rsidP="00686F28">
      <w:pPr>
        <w:jc w:val="both"/>
        <w:rPr>
          <w:rFonts w:ascii="Tw Cen MT" w:hAnsi="Tw Cen MT"/>
          <w:sz w:val="24"/>
          <w:szCs w:val="24"/>
        </w:rPr>
      </w:pPr>
      <w:r>
        <w:rPr>
          <w:rFonts w:ascii="Tw Cen MT" w:hAnsi="Tw Cen MT"/>
          <w:sz w:val="24"/>
          <w:szCs w:val="24"/>
        </w:rPr>
        <w:t>U</w:t>
      </w:r>
      <w:r w:rsidR="00036957" w:rsidRPr="00686F28">
        <w:rPr>
          <w:rFonts w:ascii="Tw Cen MT" w:hAnsi="Tw Cen MT"/>
          <w:sz w:val="24"/>
          <w:szCs w:val="24"/>
        </w:rPr>
        <w:t>ne délibération ultérieure fixera les modalités de mise à disposition du dossier de modification simplifiée auprès du public</w:t>
      </w:r>
    </w:p>
    <w:p w:rsidR="004F6F65" w:rsidRPr="00A46509" w:rsidRDefault="004F6F65">
      <w:pPr>
        <w:rPr>
          <w:rFonts w:ascii="Tw Cen MT" w:hAnsi="Tw Cen MT"/>
          <w:sz w:val="24"/>
          <w:szCs w:val="24"/>
        </w:rPr>
      </w:pPr>
      <w:r w:rsidRPr="00A46509">
        <w:rPr>
          <w:rFonts w:ascii="Tw Cen MT" w:hAnsi="Tw Cen MT"/>
          <w:sz w:val="24"/>
          <w:szCs w:val="24"/>
        </w:rPr>
        <w:br w:type="page"/>
      </w:r>
    </w:p>
    <w:p w:rsidR="004F6F65" w:rsidRPr="00A46509" w:rsidRDefault="004F6F65" w:rsidP="004F6F65">
      <w:pPr>
        <w:pStyle w:val="Titre1"/>
        <w:numPr>
          <w:ilvl w:val="0"/>
          <w:numId w:val="1"/>
        </w:numPr>
        <w:rPr>
          <w:rFonts w:ascii="Tw Cen MT" w:hAnsi="Tw Cen MT"/>
          <w:sz w:val="24"/>
          <w:szCs w:val="24"/>
        </w:rPr>
      </w:pPr>
      <w:bookmarkStart w:id="2" w:name="_Toc45293377"/>
      <w:r w:rsidRPr="00A46509">
        <w:rPr>
          <w:rFonts w:ascii="Tw Cen MT" w:hAnsi="Tw Cen MT"/>
          <w:sz w:val="24"/>
          <w:szCs w:val="24"/>
        </w:rPr>
        <w:lastRenderedPageBreak/>
        <w:t>PROCEDURE DE MODIFICATION SIMPLIFIEE</w:t>
      </w:r>
      <w:bookmarkEnd w:id="2"/>
      <w:r w:rsidRPr="00A46509">
        <w:rPr>
          <w:rFonts w:ascii="Tw Cen MT" w:hAnsi="Tw Cen MT"/>
          <w:sz w:val="24"/>
          <w:szCs w:val="24"/>
        </w:rPr>
        <w:t xml:space="preserve"> </w:t>
      </w:r>
    </w:p>
    <w:p w:rsidR="004F6F65" w:rsidRPr="00A46509" w:rsidRDefault="004F6F65" w:rsidP="004F6F65">
      <w:pPr>
        <w:rPr>
          <w:rFonts w:ascii="Tw Cen MT" w:hAnsi="Tw Cen MT"/>
          <w:sz w:val="24"/>
          <w:szCs w:val="24"/>
        </w:rPr>
      </w:pPr>
    </w:p>
    <w:p w:rsidR="004F6F65" w:rsidRPr="00A46509" w:rsidRDefault="004F6F65" w:rsidP="00E41A2C">
      <w:pPr>
        <w:jc w:val="both"/>
        <w:rPr>
          <w:rFonts w:ascii="Tw Cen MT" w:hAnsi="Tw Cen MT"/>
          <w:sz w:val="24"/>
          <w:szCs w:val="24"/>
        </w:rPr>
      </w:pPr>
      <w:r w:rsidRPr="00A46509">
        <w:rPr>
          <w:rFonts w:ascii="Tw Cen MT" w:hAnsi="Tw Cen MT"/>
          <w:sz w:val="24"/>
          <w:szCs w:val="24"/>
        </w:rPr>
        <w:t>La procédure de la modification simplifiée est encadrée par les articles L.153-45 à L.153-48 du code de l’</w:t>
      </w:r>
      <w:r w:rsidR="00993124" w:rsidRPr="00A46509">
        <w:rPr>
          <w:rFonts w:ascii="Tw Cen MT" w:hAnsi="Tw Cen MT"/>
          <w:sz w:val="24"/>
          <w:szCs w:val="24"/>
        </w:rPr>
        <w:t xml:space="preserve">urbanisme. </w:t>
      </w:r>
    </w:p>
    <w:p w:rsidR="003B713E" w:rsidRPr="00A46509" w:rsidRDefault="003B713E" w:rsidP="00E41A2C">
      <w:pPr>
        <w:rPr>
          <w:rFonts w:ascii="Tw Cen MT" w:hAnsi="Tw Cen MT"/>
          <w:b/>
          <w:sz w:val="24"/>
          <w:szCs w:val="24"/>
        </w:rPr>
      </w:pPr>
      <w:r w:rsidRPr="00A46509">
        <w:rPr>
          <w:rFonts w:ascii="Tw Cen MT" w:hAnsi="Tw Cen MT"/>
          <w:b/>
          <w:sz w:val="24"/>
          <w:szCs w:val="24"/>
        </w:rPr>
        <w:t xml:space="preserve">Article L153-45 </w:t>
      </w:r>
      <w:r w:rsidRPr="00A46509">
        <w:rPr>
          <w:rFonts w:ascii="Tw Cen MT" w:hAnsi="Tw Cen MT"/>
          <w:b/>
          <w:sz w:val="24"/>
          <w:szCs w:val="24"/>
        </w:rPr>
        <w:br/>
      </w:r>
    </w:p>
    <w:p w:rsidR="003B713E" w:rsidRPr="00A46509" w:rsidRDefault="003B713E" w:rsidP="00E41A2C">
      <w:pPr>
        <w:jc w:val="both"/>
        <w:rPr>
          <w:rFonts w:ascii="Tw Cen MT" w:hAnsi="Tw Cen MT"/>
          <w:sz w:val="24"/>
          <w:szCs w:val="24"/>
        </w:rPr>
      </w:pPr>
      <w:r w:rsidRPr="00A46509">
        <w:rPr>
          <w:rFonts w:ascii="Tw Cen MT" w:hAnsi="Tw Cen MT"/>
          <w:sz w:val="24"/>
          <w:szCs w:val="24"/>
        </w:rPr>
        <w:t xml:space="preserve">Dans les autres cas que ceux mentionnés à l'article </w:t>
      </w:r>
      <w:hyperlink r:id="rId8" w:history="1">
        <w:r w:rsidRPr="00A46509">
          <w:rPr>
            <w:rStyle w:val="Lienhypertexte"/>
            <w:rFonts w:ascii="Tw Cen MT" w:hAnsi="Tw Cen MT"/>
            <w:sz w:val="24"/>
            <w:szCs w:val="24"/>
          </w:rPr>
          <w:t>L. 153-41</w:t>
        </w:r>
      </w:hyperlink>
      <w:r w:rsidRPr="00A46509">
        <w:rPr>
          <w:rFonts w:ascii="Tw Cen MT" w:hAnsi="Tw Cen MT"/>
          <w:sz w:val="24"/>
          <w:szCs w:val="24"/>
        </w:rPr>
        <w:t xml:space="preserve">, et dans le cas des majorations des droits à construire prévus à l'article </w:t>
      </w:r>
      <w:hyperlink r:id="rId9" w:history="1">
        <w:r w:rsidRPr="00A46509">
          <w:rPr>
            <w:rStyle w:val="Lienhypertexte"/>
            <w:rFonts w:ascii="Tw Cen MT" w:hAnsi="Tw Cen MT"/>
            <w:sz w:val="24"/>
            <w:szCs w:val="24"/>
          </w:rPr>
          <w:t>L. 151-28</w:t>
        </w:r>
      </w:hyperlink>
      <w:r w:rsidRPr="00A46509">
        <w:rPr>
          <w:rFonts w:ascii="Tw Cen MT" w:hAnsi="Tw Cen MT"/>
          <w:sz w:val="24"/>
          <w:szCs w:val="24"/>
        </w:rPr>
        <w:t>, la modification peut, à l'initiative du président de l'établissement public de coopération intercommunale ou du maire, être effectuée selon une procédure simplifiée. Il en est de même lorsque le projet de modification a uniquement pour objet la rectification d'une erreur matérielle.</w:t>
      </w:r>
    </w:p>
    <w:p w:rsidR="00843CB9" w:rsidRPr="00A46509" w:rsidRDefault="003B713E" w:rsidP="00E41A2C">
      <w:pPr>
        <w:jc w:val="both"/>
        <w:rPr>
          <w:rFonts w:ascii="Tw Cen MT" w:hAnsi="Tw Cen MT"/>
          <w:b/>
          <w:sz w:val="24"/>
          <w:szCs w:val="24"/>
        </w:rPr>
      </w:pPr>
      <w:r w:rsidRPr="00A46509">
        <w:rPr>
          <w:rFonts w:ascii="Tw Cen MT" w:hAnsi="Tw Cen MT"/>
          <w:b/>
          <w:sz w:val="24"/>
          <w:szCs w:val="24"/>
        </w:rPr>
        <w:t xml:space="preserve">Article L153-46 </w:t>
      </w:r>
    </w:p>
    <w:p w:rsidR="003B713E" w:rsidRPr="00A46509" w:rsidRDefault="003B713E" w:rsidP="00E41A2C">
      <w:pPr>
        <w:jc w:val="both"/>
        <w:rPr>
          <w:rFonts w:ascii="Tw Cen MT" w:hAnsi="Tw Cen MT"/>
          <w:sz w:val="24"/>
          <w:szCs w:val="24"/>
        </w:rPr>
      </w:pPr>
      <w:r w:rsidRPr="00A46509">
        <w:rPr>
          <w:rFonts w:ascii="Tw Cen MT" w:hAnsi="Tw Cen MT"/>
          <w:sz w:val="24"/>
          <w:szCs w:val="24"/>
        </w:rPr>
        <w:br/>
        <w:t xml:space="preserve">Le plan local d'urbanisme peut faire l'objet d'une modification simplifiée afin de supprimer le dépassement prévu au 3° de l'article </w:t>
      </w:r>
      <w:hyperlink r:id="rId10" w:history="1">
        <w:r w:rsidRPr="00A46509">
          <w:rPr>
            <w:rStyle w:val="Lienhypertexte"/>
            <w:rFonts w:ascii="Tw Cen MT" w:hAnsi="Tw Cen MT"/>
            <w:sz w:val="24"/>
            <w:szCs w:val="24"/>
          </w:rPr>
          <w:t>L. 151-28</w:t>
        </w:r>
      </w:hyperlink>
      <w:r w:rsidRPr="00A46509">
        <w:rPr>
          <w:rFonts w:ascii="Tw Cen MT" w:hAnsi="Tw Cen MT"/>
          <w:sz w:val="24"/>
          <w:szCs w:val="24"/>
        </w:rPr>
        <w:t xml:space="preserve"> dans des secteurs limités, sous réserve d'une justification spéciale motivée par la protection du patrimoine bâti, des paysages ou des perspectives monumentales et urbaines. </w:t>
      </w:r>
      <w:r w:rsidRPr="00A46509">
        <w:rPr>
          <w:rFonts w:ascii="Tw Cen MT" w:hAnsi="Tw Cen MT"/>
          <w:sz w:val="24"/>
          <w:szCs w:val="24"/>
        </w:rPr>
        <w:br/>
        <w:t>La modulation des majorations des droits à construire prévue au 3° de l'article L. 151-28 ne peut être modifiée ou supprimée avant l'expiration d'un délai de deux ans à compter de l'adoption de la modification simplifiée du règlement qui l'a instaurée.</w:t>
      </w:r>
    </w:p>
    <w:p w:rsidR="003B713E" w:rsidRPr="00A46509" w:rsidRDefault="003B713E" w:rsidP="00E41A2C">
      <w:pPr>
        <w:jc w:val="both"/>
        <w:rPr>
          <w:rFonts w:ascii="Tw Cen MT" w:hAnsi="Tw Cen MT"/>
          <w:b/>
          <w:sz w:val="24"/>
          <w:szCs w:val="24"/>
        </w:rPr>
      </w:pPr>
      <w:r w:rsidRPr="00A46509">
        <w:rPr>
          <w:rFonts w:ascii="Tw Cen MT" w:hAnsi="Tw Cen MT"/>
          <w:b/>
          <w:sz w:val="24"/>
          <w:szCs w:val="24"/>
        </w:rPr>
        <w:t xml:space="preserve">Article L153-47 </w:t>
      </w:r>
    </w:p>
    <w:p w:rsidR="003B713E" w:rsidRPr="00A46509" w:rsidRDefault="003B713E" w:rsidP="00E41A2C">
      <w:pPr>
        <w:jc w:val="both"/>
        <w:rPr>
          <w:rFonts w:ascii="Tw Cen MT" w:hAnsi="Tw Cen MT"/>
          <w:sz w:val="24"/>
          <w:szCs w:val="24"/>
        </w:rPr>
      </w:pPr>
      <w:r w:rsidRPr="00A46509">
        <w:rPr>
          <w:rFonts w:ascii="Tw Cen MT" w:hAnsi="Tw Cen MT"/>
          <w:sz w:val="24"/>
          <w:szCs w:val="24"/>
        </w:rPr>
        <w:br/>
        <w:t xml:space="preserve">Le projet de modification, l'exposé de ses motifs et, le cas échéant, les avis émis par les personnes publiques associées mentionnées aux articles </w:t>
      </w:r>
      <w:hyperlink r:id="rId11" w:history="1">
        <w:r w:rsidRPr="00A46509">
          <w:rPr>
            <w:rStyle w:val="Lienhypertexte"/>
            <w:rFonts w:ascii="Tw Cen MT" w:hAnsi="Tw Cen MT"/>
            <w:sz w:val="24"/>
            <w:szCs w:val="24"/>
          </w:rPr>
          <w:t xml:space="preserve">L. 132-7 </w:t>
        </w:r>
      </w:hyperlink>
      <w:r w:rsidRPr="00A46509">
        <w:rPr>
          <w:rFonts w:ascii="Tw Cen MT" w:hAnsi="Tw Cen MT"/>
          <w:sz w:val="24"/>
          <w:szCs w:val="24"/>
        </w:rPr>
        <w:t xml:space="preserve">et </w:t>
      </w:r>
      <w:hyperlink r:id="rId12" w:history="1">
        <w:r w:rsidRPr="00A46509">
          <w:rPr>
            <w:rStyle w:val="Lienhypertexte"/>
            <w:rFonts w:ascii="Tw Cen MT" w:hAnsi="Tw Cen MT"/>
            <w:sz w:val="24"/>
            <w:szCs w:val="24"/>
          </w:rPr>
          <w:t>L. 132-9</w:t>
        </w:r>
      </w:hyperlink>
      <w:r w:rsidRPr="00A46509">
        <w:rPr>
          <w:rFonts w:ascii="Tw Cen MT" w:hAnsi="Tw Cen MT"/>
          <w:sz w:val="24"/>
          <w:szCs w:val="24"/>
        </w:rPr>
        <w:t xml:space="preserve"> sont mis à disposition du public pendant un mois, dans des conditions lui permettant de formuler ses observations. </w:t>
      </w:r>
      <w:r w:rsidRPr="00A46509">
        <w:rPr>
          <w:rFonts w:ascii="Tw Cen MT" w:hAnsi="Tw Cen MT"/>
          <w:sz w:val="24"/>
          <w:szCs w:val="24"/>
        </w:rPr>
        <w:br/>
        <w:t xml:space="preserve">Ces observations sont enregistrées et conservées. </w:t>
      </w:r>
      <w:r w:rsidRPr="00A46509">
        <w:rPr>
          <w:rFonts w:ascii="Tw Cen MT" w:hAnsi="Tw Cen MT"/>
          <w:sz w:val="24"/>
          <w:szCs w:val="24"/>
        </w:rPr>
        <w:br/>
        <w:t xml:space="preserve">Les modalités de la mise à disposition sont précisées, selon le cas, par l'organe délibérant de l'établissement public compétent ou par le conseil municipal et portées à la connaissance du public au moins huit jours avant le début de cette mise à disposition. </w:t>
      </w:r>
      <w:r w:rsidRPr="00A46509">
        <w:rPr>
          <w:rFonts w:ascii="Tw Cen MT" w:hAnsi="Tw Cen MT"/>
          <w:sz w:val="24"/>
          <w:szCs w:val="24"/>
        </w:rPr>
        <w:br/>
        <w:t xml:space="preserve">Lorsque la modification simplifiée d'un plan local d'urbanisme intercommunal n'intéresse qu'une ou plusieurs communes, la mise à disposition du public peut n'être organisée que sur le territoire de ces communes. </w:t>
      </w:r>
      <w:r w:rsidRPr="00A46509">
        <w:rPr>
          <w:rFonts w:ascii="Tw Cen MT" w:hAnsi="Tw Cen MT"/>
          <w:sz w:val="24"/>
          <w:szCs w:val="24"/>
        </w:rPr>
        <w:br/>
        <w:t>A l'issue de la mise à disposition, le président de l'établissement public ou le maire en présente le bilan devant l'organe délibérant de l'établissement public ou le conseil municipal, qui en délibère et adopte le projet éventuellement modifié pour tenir compte des avis émis et des observations du public par délibération motivée</w:t>
      </w:r>
      <w:r w:rsidR="00993124" w:rsidRPr="00A46509">
        <w:rPr>
          <w:rFonts w:ascii="Tw Cen MT" w:hAnsi="Tw Cen MT"/>
          <w:sz w:val="24"/>
          <w:szCs w:val="24"/>
        </w:rPr>
        <w:t>.</w:t>
      </w:r>
    </w:p>
    <w:p w:rsidR="003B713E" w:rsidRPr="00A46509" w:rsidRDefault="003B713E" w:rsidP="00E41A2C">
      <w:pPr>
        <w:jc w:val="both"/>
        <w:rPr>
          <w:rFonts w:ascii="Tw Cen MT" w:hAnsi="Tw Cen MT"/>
          <w:b/>
          <w:sz w:val="24"/>
          <w:szCs w:val="24"/>
        </w:rPr>
      </w:pPr>
      <w:r w:rsidRPr="00A46509">
        <w:rPr>
          <w:rFonts w:ascii="Tw Cen MT" w:hAnsi="Tw Cen MT"/>
          <w:b/>
          <w:sz w:val="24"/>
          <w:szCs w:val="24"/>
        </w:rPr>
        <w:t xml:space="preserve">Article L153-48 </w:t>
      </w:r>
    </w:p>
    <w:p w:rsidR="00DD6F90" w:rsidRPr="00A46509" w:rsidRDefault="003B713E" w:rsidP="00E41A2C">
      <w:pPr>
        <w:jc w:val="both"/>
        <w:rPr>
          <w:rFonts w:ascii="Tw Cen MT" w:hAnsi="Tw Cen MT"/>
          <w:sz w:val="24"/>
          <w:szCs w:val="24"/>
        </w:rPr>
      </w:pPr>
      <w:r w:rsidRPr="00A46509">
        <w:rPr>
          <w:rFonts w:ascii="Tw Cen MT" w:hAnsi="Tw Cen MT"/>
          <w:sz w:val="24"/>
          <w:szCs w:val="24"/>
        </w:rPr>
        <w:br/>
        <w:t xml:space="preserve">L'acte approuvant une modification simplifiée devient exécutoire à compter de sa publication et de sa transmission à l'autorité administrative compétente de l'Etat dans les conditions définies aux articles </w:t>
      </w:r>
      <w:hyperlink r:id="rId13" w:history="1">
        <w:r w:rsidRPr="00A46509">
          <w:rPr>
            <w:rStyle w:val="Lienhypertexte"/>
            <w:rFonts w:ascii="Tw Cen MT" w:hAnsi="Tw Cen MT"/>
            <w:sz w:val="24"/>
            <w:szCs w:val="24"/>
          </w:rPr>
          <w:t>L. 2131-1</w:t>
        </w:r>
      </w:hyperlink>
      <w:r w:rsidRPr="00A46509">
        <w:rPr>
          <w:rFonts w:ascii="Tw Cen MT" w:hAnsi="Tw Cen MT"/>
          <w:sz w:val="24"/>
          <w:szCs w:val="24"/>
        </w:rPr>
        <w:t xml:space="preserve"> et </w:t>
      </w:r>
      <w:hyperlink r:id="rId14" w:history="1">
        <w:r w:rsidRPr="00A46509">
          <w:rPr>
            <w:rStyle w:val="Lienhypertexte"/>
            <w:rFonts w:ascii="Tw Cen MT" w:hAnsi="Tw Cen MT"/>
            <w:sz w:val="24"/>
            <w:szCs w:val="24"/>
          </w:rPr>
          <w:t>L. 2131-2</w:t>
        </w:r>
      </w:hyperlink>
      <w:r w:rsidRPr="00A46509">
        <w:rPr>
          <w:rFonts w:ascii="Tw Cen MT" w:hAnsi="Tw Cen MT"/>
          <w:sz w:val="24"/>
          <w:szCs w:val="24"/>
        </w:rPr>
        <w:t xml:space="preserve"> du code général des collectivités territoriales.</w:t>
      </w:r>
    </w:p>
    <w:p w:rsidR="00CF1F2E" w:rsidRPr="00A46509" w:rsidRDefault="00CF1F2E">
      <w:pPr>
        <w:rPr>
          <w:rFonts w:ascii="Tw Cen MT" w:hAnsi="Tw Cen MT"/>
          <w:sz w:val="24"/>
          <w:szCs w:val="24"/>
        </w:rPr>
      </w:pPr>
    </w:p>
    <w:p w:rsidR="00CF1F2E" w:rsidRPr="00A46509" w:rsidRDefault="00CF1F2E">
      <w:pPr>
        <w:rPr>
          <w:rFonts w:ascii="Tw Cen MT" w:hAnsi="Tw Cen MT"/>
          <w:sz w:val="24"/>
          <w:szCs w:val="24"/>
        </w:rPr>
      </w:pPr>
    </w:p>
    <w:p w:rsidR="00CF1F2E" w:rsidRPr="00A46509" w:rsidRDefault="00CF1F2E">
      <w:pPr>
        <w:rPr>
          <w:rFonts w:ascii="Tw Cen MT" w:hAnsi="Tw Cen MT"/>
          <w:sz w:val="24"/>
          <w:szCs w:val="24"/>
        </w:rPr>
      </w:pPr>
    </w:p>
    <w:p w:rsidR="004D7D2C" w:rsidRPr="00A46509" w:rsidRDefault="00DD6F90" w:rsidP="00DD6F90">
      <w:pPr>
        <w:pStyle w:val="Titre1"/>
        <w:numPr>
          <w:ilvl w:val="0"/>
          <w:numId w:val="1"/>
        </w:numPr>
        <w:rPr>
          <w:rFonts w:ascii="Tw Cen MT" w:hAnsi="Tw Cen MT"/>
          <w:sz w:val="24"/>
          <w:szCs w:val="24"/>
        </w:rPr>
      </w:pPr>
      <w:bookmarkStart w:id="3" w:name="_Toc45293378"/>
      <w:r w:rsidRPr="00A46509">
        <w:rPr>
          <w:rFonts w:ascii="Tw Cen MT" w:hAnsi="Tw Cen MT"/>
          <w:sz w:val="24"/>
          <w:szCs w:val="24"/>
        </w:rPr>
        <w:t>OBJECTIFS ET JUSTIFICATIONS DE LA MODIFICATION SIMPLIFIEE</w:t>
      </w:r>
      <w:bookmarkEnd w:id="3"/>
      <w:r w:rsidRPr="00A46509">
        <w:rPr>
          <w:rFonts w:ascii="Tw Cen MT" w:hAnsi="Tw Cen MT"/>
          <w:sz w:val="24"/>
          <w:szCs w:val="24"/>
        </w:rPr>
        <w:t xml:space="preserve"> </w:t>
      </w:r>
    </w:p>
    <w:p w:rsidR="00AF4E64" w:rsidRPr="00A46509" w:rsidRDefault="00AF4E64" w:rsidP="00DD6F90">
      <w:pPr>
        <w:pStyle w:val="REGLEMENT"/>
        <w:rPr>
          <w:rFonts w:ascii="Tw Cen MT" w:hAnsi="Tw Cen MT"/>
        </w:rPr>
      </w:pPr>
    </w:p>
    <w:p w:rsidR="00AF4E64" w:rsidRPr="00A46509" w:rsidRDefault="00AF4E64" w:rsidP="00DD6F90">
      <w:pPr>
        <w:pStyle w:val="REGLEMENT"/>
        <w:rPr>
          <w:rFonts w:ascii="Tw Cen MT" w:hAnsi="Tw Cen MT"/>
        </w:rPr>
      </w:pPr>
    </w:p>
    <w:p w:rsidR="00F60964" w:rsidRDefault="00F60964" w:rsidP="00E41A2C">
      <w:pPr>
        <w:jc w:val="both"/>
        <w:rPr>
          <w:rFonts w:ascii="Tw Cen MT" w:hAnsi="Tw Cen MT"/>
          <w:sz w:val="24"/>
          <w:szCs w:val="24"/>
        </w:rPr>
      </w:pPr>
      <w:r>
        <w:rPr>
          <w:rFonts w:ascii="Tw Cen MT" w:hAnsi="Tw Cen MT"/>
          <w:sz w:val="24"/>
          <w:szCs w:val="24"/>
        </w:rPr>
        <w:t>La zone économique de Brabois Forestière est dédiée essentiellement à l’installation d’activités à vocation tertiaire :</w:t>
      </w:r>
    </w:p>
    <w:p w:rsidR="00F60964" w:rsidRPr="0045230F" w:rsidRDefault="00F60964" w:rsidP="00F60964">
      <w:pPr>
        <w:numPr>
          <w:ilvl w:val="0"/>
          <w:numId w:val="8"/>
        </w:numPr>
        <w:spacing w:after="0" w:line="240" w:lineRule="auto"/>
        <w:ind w:right="27"/>
        <w:jc w:val="both"/>
        <w:rPr>
          <w:rFonts w:ascii="Arial" w:eastAsia="Arial Unicode MS" w:hAnsi="Arial" w:cs="Arial"/>
          <w:color w:val="000000"/>
          <w:sz w:val="20"/>
          <w:szCs w:val="20"/>
        </w:rPr>
      </w:pPr>
      <w:r w:rsidRPr="0045230F">
        <w:rPr>
          <w:rFonts w:ascii="Arial" w:eastAsia="Arial Unicode MS" w:hAnsi="Arial" w:cs="Arial"/>
          <w:color w:val="000000"/>
          <w:sz w:val="20"/>
          <w:szCs w:val="20"/>
        </w:rPr>
        <w:t xml:space="preserve">Les constructions à vocation commerciale et artisanale à condition d’être liées à l’activité principale de restauration et/ou d’hébergement hôtelier </w:t>
      </w:r>
    </w:p>
    <w:p w:rsidR="00F60964" w:rsidRPr="00DE7F9A" w:rsidRDefault="00F60964" w:rsidP="00F60964">
      <w:pPr>
        <w:numPr>
          <w:ilvl w:val="0"/>
          <w:numId w:val="8"/>
        </w:numPr>
        <w:spacing w:after="0" w:line="240" w:lineRule="auto"/>
        <w:ind w:right="27"/>
        <w:jc w:val="both"/>
        <w:rPr>
          <w:rFonts w:ascii="Arial" w:eastAsia="Arial Unicode MS" w:hAnsi="Arial" w:cs="Arial"/>
          <w:color w:val="000000"/>
          <w:sz w:val="20"/>
          <w:szCs w:val="20"/>
        </w:rPr>
      </w:pPr>
      <w:r w:rsidRPr="00DE7F9A">
        <w:rPr>
          <w:rFonts w:ascii="Arial" w:eastAsia="Arial Unicode MS" w:hAnsi="Arial" w:cs="Arial"/>
          <w:color w:val="000000"/>
          <w:sz w:val="20"/>
          <w:szCs w:val="20"/>
        </w:rPr>
        <w:t>Les constructions destinées à la fonction d’entrepôt à condition d’être liées à une activité principale admise dans la zone</w:t>
      </w:r>
    </w:p>
    <w:p w:rsidR="00F60964" w:rsidRPr="0045230F" w:rsidRDefault="00F60964" w:rsidP="00F60964">
      <w:pPr>
        <w:numPr>
          <w:ilvl w:val="0"/>
          <w:numId w:val="8"/>
        </w:numPr>
        <w:spacing w:after="0" w:line="240" w:lineRule="auto"/>
        <w:ind w:right="27"/>
        <w:jc w:val="both"/>
        <w:rPr>
          <w:rFonts w:ascii="Arial" w:eastAsia="Arial Unicode MS" w:hAnsi="Arial" w:cs="Arial"/>
          <w:color w:val="000000"/>
          <w:sz w:val="20"/>
          <w:szCs w:val="20"/>
        </w:rPr>
      </w:pPr>
      <w:r w:rsidRPr="0045230F">
        <w:rPr>
          <w:rFonts w:ascii="Arial" w:eastAsia="Arial Unicode MS" w:hAnsi="Arial" w:cs="Arial"/>
          <w:color w:val="000000"/>
          <w:sz w:val="20"/>
          <w:szCs w:val="20"/>
        </w:rPr>
        <w:t xml:space="preserve">Les constructions à vocation d’industrie (ex : production) à condition d’être liées à une activité principale de bureau (recherche et développement, activité tertiaire…) </w:t>
      </w:r>
    </w:p>
    <w:p w:rsidR="00F60964" w:rsidRPr="00F60964" w:rsidRDefault="00F60964" w:rsidP="00F60964">
      <w:pPr>
        <w:numPr>
          <w:ilvl w:val="0"/>
          <w:numId w:val="8"/>
        </w:numPr>
        <w:spacing w:after="0" w:line="240" w:lineRule="auto"/>
        <w:ind w:right="27"/>
        <w:jc w:val="both"/>
        <w:rPr>
          <w:rFonts w:ascii="Arial" w:eastAsia="Arial Unicode MS" w:hAnsi="Arial" w:cs="Arial"/>
          <w:bCs/>
          <w:sz w:val="20"/>
          <w:szCs w:val="20"/>
        </w:rPr>
      </w:pPr>
      <w:r w:rsidRPr="00F60964">
        <w:rPr>
          <w:rFonts w:ascii="Arial" w:eastAsia="Arial Unicode MS" w:hAnsi="Arial" w:cs="Arial"/>
          <w:bCs/>
          <w:sz w:val="20"/>
          <w:szCs w:val="20"/>
        </w:rPr>
        <w:t>L’activité de service lié à l’accueil d’une clientèle dans le domaine de la petite enfance (ex : garde d’enfant)</w:t>
      </w:r>
    </w:p>
    <w:p w:rsidR="00F60964" w:rsidRDefault="00F60964" w:rsidP="00F60964">
      <w:pPr>
        <w:jc w:val="both"/>
        <w:rPr>
          <w:rFonts w:ascii="Tw Cen MT" w:hAnsi="Tw Cen MT"/>
          <w:sz w:val="24"/>
          <w:szCs w:val="24"/>
        </w:rPr>
      </w:pPr>
    </w:p>
    <w:p w:rsidR="00F60964" w:rsidRDefault="00F60964" w:rsidP="00F60964">
      <w:pPr>
        <w:jc w:val="both"/>
        <w:rPr>
          <w:rFonts w:ascii="Tw Cen MT" w:hAnsi="Tw Cen MT"/>
          <w:sz w:val="24"/>
          <w:szCs w:val="24"/>
        </w:rPr>
      </w:pPr>
      <w:r>
        <w:rPr>
          <w:rFonts w:ascii="Tw Cen MT" w:hAnsi="Tw Cen MT"/>
          <w:sz w:val="24"/>
          <w:szCs w:val="24"/>
        </w:rPr>
        <w:t xml:space="preserve">En raison de la configuration de certaines parcelles, l’implantation des constructions nécessiterait de pouvoir s’élever en hauteur, au-delà de la hauteur actuellement autorisée. </w:t>
      </w:r>
    </w:p>
    <w:p w:rsidR="00F60964" w:rsidRPr="00F60964" w:rsidRDefault="00F60964" w:rsidP="00F60964">
      <w:pPr>
        <w:jc w:val="both"/>
        <w:rPr>
          <w:rFonts w:ascii="Tw Cen MT" w:hAnsi="Tw Cen MT"/>
          <w:sz w:val="24"/>
          <w:szCs w:val="24"/>
        </w:rPr>
      </w:pPr>
      <w:r>
        <w:rPr>
          <w:rFonts w:ascii="Tw Cen MT" w:hAnsi="Tw Cen MT"/>
          <w:sz w:val="24"/>
          <w:szCs w:val="24"/>
        </w:rPr>
        <w:t>L’</w:t>
      </w:r>
      <w:r w:rsidRPr="00F60964">
        <w:rPr>
          <w:rFonts w:ascii="Tw Cen MT" w:hAnsi="Tw Cen MT"/>
          <w:sz w:val="24"/>
          <w:szCs w:val="24"/>
        </w:rPr>
        <w:t xml:space="preserve">objectif unique de la modification </w:t>
      </w:r>
      <w:r>
        <w:rPr>
          <w:rFonts w:ascii="Tw Cen MT" w:hAnsi="Tw Cen MT"/>
          <w:sz w:val="24"/>
          <w:szCs w:val="24"/>
        </w:rPr>
        <w:t>porte sur</w:t>
      </w:r>
      <w:r w:rsidRPr="00F60964">
        <w:rPr>
          <w:rFonts w:ascii="Tw Cen MT" w:hAnsi="Tw Cen MT"/>
          <w:sz w:val="24"/>
          <w:szCs w:val="24"/>
        </w:rPr>
        <w:t xml:space="preserve"> la hauteur des constructions autorisées en </w:t>
      </w:r>
      <w:r w:rsidRPr="00F60964">
        <w:rPr>
          <w:rFonts w:ascii="Tw Cen MT" w:hAnsi="Tw Cen MT"/>
          <w:sz w:val="24"/>
          <w:szCs w:val="24"/>
          <w:highlight w:val="yellow"/>
        </w:rPr>
        <w:t>zone 1AUYa actuellement possible à 12m et de pouvoir les élever jusque 18m</w:t>
      </w:r>
      <w:r w:rsidR="0068726B">
        <w:rPr>
          <w:rFonts w:ascii="Tw Cen MT" w:hAnsi="Tw Cen MT"/>
          <w:sz w:val="24"/>
          <w:szCs w:val="24"/>
          <w:highlight w:val="yellow"/>
        </w:rPr>
        <w:t xml:space="preserve"> uniquement pour celles à vocation hôtelière ou de restauration</w:t>
      </w:r>
      <w:r w:rsidRPr="00F60964">
        <w:rPr>
          <w:rFonts w:ascii="Tw Cen MT" w:hAnsi="Tw Cen MT"/>
          <w:sz w:val="24"/>
          <w:szCs w:val="24"/>
          <w:highlight w:val="yellow"/>
        </w:rPr>
        <w:t>.</w:t>
      </w:r>
      <w:r w:rsidRPr="00F60964">
        <w:rPr>
          <w:rFonts w:ascii="Tw Cen MT" w:hAnsi="Tw Cen MT"/>
          <w:sz w:val="24"/>
          <w:szCs w:val="24"/>
        </w:rPr>
        <w:t xml:space="preserve"> </w:t>
      </w:r>
    </w:p>
    <w:p w:rsidR="00F60964" w:rsidRPr="00A46509" w:rsidRDefault="00F60964" w:rsidP="00E41A2C">
      <w:pPr>
        <w:jc w:val="both"/>
        <w:rPr>
          <w:rFonts w:ascii="Tw Cen MT" w:hAnsi="Tw Cen MT"/>
          <w:sz w:val="24"/>
          <w:szCs w:val="24"/>
        </w:rPr>
      </w:pPr>
    </w:p>
    <w:p w:rsidR="005020D6" w:rsidRPr="00A46509" w:rsidRDefault="005020D6" w:rsidP="00E41A2C">
      <w:pPr>
        <w:jc w:val="both"/>
        <w:rPr>
          <w:rFonts w:ascii="Tw Cen MT" w:hAnsi="Tw Cen MT"/>
          <w:sz w:val="24"/>
          <w:szCs w:val="24"/>
        </w:rPr>
      </w:pPr>
    </w:p>
    <w:p w:rsidR="009F1ADE" w:rsidRPr="00A46509" w:rsidRDefault="0067347A" w:rsidP="00E41A2C">
      <w:pPr>
        <w:jc w:val="both"/>
        <w:rPr>
          <w:rFonts w:ascii="Tw Cen MT" w:hAnsi="Tw Cen MT"/>
          <w:color w:val="4472C4" w:themeColor="accent5"/>
          <w:sz w:val="24"/>
          <w:szCs w:val="24"/>
        </w:rPr>
      </w:pPr>
      <w:r w:rsidRPr="00A46509">
        <w:rPr>
          <w:rFonts w:ascii="Tw Cen MT" w:hAnsi="Tw Cen MT"/>
          <w:color w:val="4472C4" w:themeColor="accent5"/>
          <w:sz w:val="24"/>
          <w:szCs w:val="24"/>
        </w:rPr>
        <w:t xml:space="preserve">3.1 </w:t>
      </w:r>
      <w:r w:rsidR="009F1ADE" w:rsidRPr="00A46509">
        <w:rPr>
          <w:rFonts w:ascii="Tw Cen MT" w:hAnsi="Tw Cen MT"/>
          <w:color w:val="4472C4" w:themeColor="accent5"/>
          <w:sz w:val="24"/>
          <w:szCs w:val="24"/>
        </w:rPr>
        <w:t xml:space="preserve">L’article </w:t>
      </w:r>
      <w:r w:rsidR="00686F28">
        <w:rPr>
          <w:rFonts w:ascii="Tw Cen MT" w:hAnsi="Tw Cen MT"/>
          <w:color w:val="4472C4" w:themeColor="accent5"/>
          <w:sz w:val="24"/>
          <w:szCs w:val="24"/>
        </w:rPr>
        <w:t xml:space="preserve">1 AUY 10 </w:t>
      </w:r>
      <w:r w:rsidR="009F1ADE" w:rsidRPr="00A46509">
        <w:rPr>
          <w:rFonts w:ascii="Tw Cen MT" w:hAnsi="Tw Cen MT"/>
          <w:color w:val="4472C4" w:themeColor="accent5"/>
          <w:sz w:val="24"/>
          <w:szCs w:val="24"/>
        </w:rPr>
        <w:t>prévoyait</w:t>
      </w:r>
      <w:r w:rsidRPr="00A46509">
        <w:rPr>
          <w:rFonts w:ascii="Tw Cen MT" w:hAnsi="Tw Cen MT"/>
          <w:color w:val="4472C4" w:themeColor="accent5"/>
          <w:sz w:val="24"/>
          <w:szCs w:val="24"/>
        </w:rPr>
        <w:t> :</w:t>
      </w:r>
    </w:p>
    <w:p w:rsidR="0067347A" w:rsidRPr="00A46509" w:rsidRDefault="0067347A" w:rsidP="009F1ADE">
      <w:pPr>
        <w:rPr>
          <w:rFonts w:ascii="Tw Cen MT" w:hAnsi="Tw Cen MT"/>
          <w:b/>
        </w:rPr>
      </w:pPr>
    </w:p>
    <w:p w:rsidR="00686F28" w:rsidRPr="00DA7107" w:rsidRDefault="00686F28" w:rsidP="00686F28">
      <w:pPr>
        <w:pBdr>
          <w:bottom w:val="single" w:sz="4" w:space="1" w:color="auto"/>
        </w:pBdr>
        <w:ind w:right="27"/>
        <w:jc w:val="both"/>
        <w:rPr>
          <w:rFonts w:ascii="Arial" w:eastAsia="Arial Unicode MS" w:hAnsi="Arial" w:cs="Arial"/>
          <w:b/>
          <w:color w:val="000000"/>
          <w:sz w:val="20"/>
          <w:szCs w:val="20"/>
        </w:rPr>
      </w:pPr>
      <w:r w:rsidRPr="00DA7107">
        <w:rPr>
          <w:rFonts w:ascii="Arial" w:eastAsia="Arial Unicode MS" w:hAnsi="Arial" w:cs="Arial"/>
          <w:b/>
          <w:color w:val="000000"/>
          <w:sz w:val="20"/>
          <w:szCs w:val="20"/>
        </w:rPr>
        <w:t xml:space="preserve">ARTICLE </w:t>
      </w:r>
      <w:r>
        <w:rPr>
          <w:rFonts w:ascii="Arial" w:eastAsia="Arial Unicode MS" w:hAnsi="Arial" w:cs="Arial"/>
          <w:b/>
          <w:color w:val="000000"/>
          <w:sz w:val="20"/>
          <w:szCs w:val="20"/>
        </w:rPr>
        <w:t>1A</w:t>
      </w:r>
      <w:r w:rsidRPr="00DA7107">
        <w:rPr>
          <w:rFonts w:ascii="Arial" w:eastAsia="Arial Unicode MS" w:hAnsi="Arial" w:cs="Arial"/>
          <w:b/>
          <w:color w:val="000000"/>
          <w:sz w:val="20"/>
          <w:szCs w:val="20"/>
        </w:rPr>
        <w:t>U</w:t>
      </w:r>
      <w:r>
        <w:rPr>
          <w:rFonts w:ascii="Arial" w:eastAsia="Arial Unicode MS" w:hAnsi="Arial" w:cs="Arial"/>
          <w:b/>
          <w:color w:val="000000"/>
          <w:sz w:val="20"/>
          <w:szCs w:val="20"/>
        </w:rPr>
        <w:t>Y</w:t>
      </w:r>
      <w:r w:rsidRPr="00DA7107">
        <w:rPr>
          <w:rFonts w:ascii="Arial" w:eastAsia="Arial Unicode MS" w:hAnsi="Arial" w:cs="Arial"/>
          <w:b/>
          <w:color w:val="000000"/>
          <w:sz w:val="20"/>
          <w:szCs w:val="20"/>
        </w:rPr>
        <w:t>10 - HAUTEUR MAXIMALE DES CONSTRUCTIONS</w:t>
      </w:r>
    </w:p>
    <w:p w:rsidR="00686F28" w:rsidRPr="00DA7107" w:rsidRDefault="00686F28" w:rsidP="00686F28">
      <w:pPr>
        <w:tabs>
          <w:tab w:val="left" w:pos="567"/>
        </w:tabs>
        <w:ind w:right="27"/>
        <w:jc w:val="both"/>
        <w:rPr>
          <w:rFonts w:ascii="Arial" w:eastAsia="Arial Unicode MS" w:hAnsi="Arial" w:cs="Arial"/>
          <w:color w:val="000000"/>
          <w:sz w:val="20"/>
          <w:szCs w:val="20"/>
        </w:rPr>
      </w:pPr>
    </w:p>
    <w:p w:rsidR="00686F28" w:rsidRPr="002B17AB" w:rsidRDefault="00686F28" w:rsidP="00686F28">
      <w:pPr>
        <w:pStyle w:val="Corpsdetexte"/>
        <w:tabs>
          <w:tab w:val="left" w:pos="6804"/>
          <w:tab w:val="left" w:pos="7797"/>
        </w:tabs>
        <w:ind w:left="709" w:hanging="709"/>
        <w:rPr>
          <w:rFonts w:ascii="Arial" w:hAnsi="Arial" w:cs="Arial"/>
          <w:sz w:val="20"/>
        </w:rPr>
      </w:pPr>
      <w:r w:rsidRPr="002B17AB">
        <w:rPr>
          <w:rFonts w:ascii="Arial" w:hAnsi="Arial" w:cs="Arial"/>
          <w:sz w:val="20"/>
        </w:rPr>
        <w:t xml:space="preserve">10.1. </w:t>
      </w:r>
      <w:r w:rsidRPr="00440301">
        <w:rPr>
          <w:rFonts w:ascii="Arial" w:hAnsi="Arial" w:cs="Arial"/>
          <w:sz w:val="20"/>
          <w:u w:val="single"/>
        </w:rPr>
        <w:t>Hauteur absolue</w:t>
      </w:r>
      <w:r>
        <w:rPr>
          <w:rFonts w:ascii="Arial" w:hAnsi="Arial" w:cs="Arial"/>
          <w:sz w:val="20"/>
        </w:rPr>
        <w:t> </w:t>
      </w:r>
    </w:p>
    <w:p w:rsidR="00686F28" w:rsidRDefault="00686F28" w:rsidP="00686F28">
      <w:pPr>
        <w:pStyle w:val="Corpsdetexte"/>
        <w:tabs>
          <w:tab w:val="left" w:pos="6804"/>
          <w:tab w:val="left" w:pos="7797"/>
        </w:tabs>
        <w:ind w:left="709"/>
        <w:rPr>
          <w:rFonts w:ascii="Arial" w:hAnsi="Arial" w:cs="Arial"/>
          <w:sz w:val="20"/>
        </w:rPr>
      </w:pPr>
      <w:r w:rsidRPr="0047646A">
        <w:rPr>
          <w:rFonts w:ascii="Arial" w:hAnsi="Arial" w:cs="Arial"/>
          <w:sz w:val="20"/>
        </w:rPr>
        <w:t>a) La hauteur absolue des constructions est mesurée du point le plus haut du polygone d’implantation à l’égout de la toiture.</w:t>
      </w:r>
    </w:p>
    <w:p w:rsidR="00686F28" w:rsidRPr="0047646A" w:rsidRDefault="00686F28" w:rsidP="00686F28">
      <w:pPr>
        <w:pStyle w:val="Corpsdetexte"/>
        <w:tabs>
          <w:tab w:val="left" w:pos="6804"/>
          <w:tab w:val="left" w:pos="7797"/>
        </w:tabs>
        <w:ind w:left="709"/>
        <w:rPr>
          <w:rFonts w:ascii="Arial" w:hAnsi="Arial" w:cs="Arial"/>
          <w:sz w:val="20"/>
        </w:rPr>
      </w:pPr>
      <w:r w:rsidRPr="0047646A">
        <w:rPr>
          <w:rFonts w:ascii="Arial" w:hAnsi="Arial" w:cs="Arial"/>
          <w:sz w:val="20"/>
        </w:rPr>
        <w:t xml:space="preserve">b) La hauteur absolue des constructions ne doit pas excéder </w:t>
      </w:r>
      <w:r w:rsidRPr="00F60964">
        <w:rPr>
          <w:rFonts w:ascii="Arial" w:hAnsi="Arial" w:cs="Arial"/>
          <w:sz w:val="20"/>
          <w:highlight w:val="yellow"/>
        </w:rPr>
        <w:t>12 m</w:t>
      </w:r>
      <w:r>
        <w:rPr>
          <w:rFonts w:ascii="Arial" w:hAnsi="Arial" w:cs="Arial"/>
          <w:sz w:val="20"/>
        </w:rPr>
        <w:t xml:space="preserve"> a</w:t>
      </w:r>
      <w:r w:rsidRPr="0047646A">
        <w:rPr>
          <w:rFonts w:ascii="Arial" w:hAnsi="Arial" w:cs="Arial"/>
          <w:sz w:val="20"/>
        </w:rPr>
        <w:t xml:space="preserve">u point le plus haut du polygone d’implantation. </w:t>
      </w:r>
    </w:p>
    <w:p w:rsidR="00686F28" w:rsidRDefault="00686F28" w:rsidP="00686F28">
      <w:pPr>
        <w:pStyle w:val="REGLEMENT"/>
        <w:tabs>
          <w:tab w:val="left" w:pos="567"/>
        </w:tabs>
        <w:rPr>
          <w:rFonts w:ascii="Arial" w:hAnsi="Arial" w:cs="Arial"/>
          <w:sz w:val="20"/>
        </w:rPr>
      </w:pPr>
      <w:r w:rsidRPr="0047646A">
        <w:rPr>
          <w:rFonts w:ascii="Arial" w:hAnsi="Arial" w:cs="Arial"/>
          <w:sz w:val="20"/>
        </w:rPr>
        <w:t>10.2. Cette règle ne s’applique pas pour les bâtiments à structure verticale exceptionnelle tels que clocher, château d’eau, pylône, etc</w:t>
      </w:r>
      <w:r>
        <w:rPr>
          <w:rFonts w:ascii="Arial" w:hAnsi="Arial" w:cs="Arial"/>
          <w:sz w:val="20"/>
        </w:rPr>
        <w:t>…</w:t>
      </w:r>
    </w:p>
    <w:p w:rsidR="00686F28" w:rsidRPr="0047646A" w:rsidRDefault="00686F28" w:rsidP="00686F28">
      <w:pPr>
        <w:pStyle w:val="REGLEMENT"/>
        <w:tabs>
          <w:tab w:val="left" w:pos="567"/>
        </w:tabs>
        <w:rPr>
          <w:rFonts w:ascii="Arial" w:hAnsi="Arial" w:cs="Arial"/>
          <w:sz w:val="20"/>
        </w:rPr>
      </w:pPr>
    </w:p>
    <w:p w:rsidR="00686F28" w:rsidRPr="0047646A" w:rsidRDefault="00686F28" w:rsidP="00686F28">
      <w:pPr>
        <w:pStyle w:val="REGLEMENT"/>
        <w:tabs>
          <w:tab w:val="left" w:pos="567"/>
        </w:tabs>
        <w:rPr>
          <w:rFonts w:ascii="Arial" w:hAnsi="Arial" w:cs="Arial"/>
          <w:sz w:val="20"/>
        </w:rPr>
      </w:pPr>
      <w:r w:rsidRPr="0047646A">
        <w:rPr>
          <w:rFonts w:ascii="Arial" w:hAnsi="Arial" w:cs="Arial"/>
          <w:sz w:val="20"/>
        </w:rPr>
        <w:t>Cet article ne s'applique pas non plus aux ouvrages techniques nécessaires au fonctionnement des services publics ou concourant aux missions des services publics.</w:t>
      </w:r>
    </w:p>
    <w:p w:rsidR="00686F28" w:rsidRDefault="00686F28" w:rsidP="00686F28">
      <w:pPr>
        <w:pStyle w:val="En-tte"/>
        <w:tabs>
          <w:tab w:val="clear" w:pos="4536"/>
          <w:tab w:val="clear" w:pos="9072"/>
          <w:tab w:val="left" w:pos="6237"/>
          <w:tab w:val="left" w:pos="7938"/>
        </w:tabs>
        <w:rPr>
          <w:rFonts w:ascii="Arial" w:hAnsi="Arial" w:cs="Arial"/>
          <w:b/>
          <w:color w:val="FF0000"/>
          <w:sz w:val="20"/>
        </w:rPr>
      </w:pPr>
    </w:p>
    <w:p w:rsidR="009F1ADE" w:rsidRPr="00A46509" w:rsidRDefault="009F1ADE" w:rsidP="009F1ADE">
      <w:pPr>
        <w:rPr>
          <w:rFonts w:ascii="Tw Cen MT" w:hAnsi="Tw Cen MT"/>
        </w:rPr>
      </w:pPr>
    </w:p>
    <w:p w:rsidR="009F1ADE" w:rsidRPr="00A46509" w:rsidRDefault="0067347A" w:rsidP="009F1ADE">
      <w:pPr>
        <w:rPr>
          <w:rFonts w:ascii="Tw Cen MT" w:hAnsi="Tw Cen MT"/>
          <w:color w:val="4472C4" w:themeColor="accent5"/>
        </w:rPr>
      </w:pPr>
      <w:r w:rsidRPr="00A46509">
        <w:rPr>
          <w:rFonts w:ascii="Tw Cen MT" w:hAnsi="Tw Cen MT"/>
          <w:color w:val="4472C4" w:themeColor="accent5"/>
        </w:rPr>
        <w:t xml:space="preserve">3.2 </w:t>
      </w:r>
      <w:r w:rsidR="009F1ADE" w:rsidRPr="00A46509">
        <w:rPr>
          <w:rFonts w:ascii="Tw Cen MT" w:hAnsi="Tw Cen MT"/>
          <w:color w:val="4472C4" w:themeColor="accent5"/>
        </w:rPr>
        <w:t xml:space="preserve">L’article est ainsi corrigé : </w:t>
      </w:r>
    </w:p>
    <w:p w:rsidR="009F1ADE" w:rsidRPr="00A46509" w:rsidRDefault="009F1ADE" w:rsidP="009F1ADE">
      <w:pPr>
        <w:rPr>
          <w:rFonts w:ascii="Tw Cen MT" w:hAnsi="Tw Cen MT"/>
        </w:rPr>
      </w:pPr>
    </w:p>
    <w:p w:rsidR="00686F28" w:rsidRPr="002B17AB" w:rsidRDefault="00686F28" w:rsidP="00686F28">
      <w:pPr>
        <w:pStyle w:val="Corpsdetexte"/>
        <w:tabs>
          <w:tab w:val="left" w:pos="6804"/>
          <w:tab w:val="left" w:pos="7797"/>
        </w:tabs>
        <w:ind w:left="709" w:hanging="709"/>
        <w:rPr>
          <w:rFonts w:ascii="Arial" w:hAnsi="Arial" w:cs="Arial"/>
          <w:sz w:val="20"/>
        </w:rPr>
      </w:pPr>
      <w:r w:rsidRPr="002B17AB">
        <w:rPr>
          <w:rFonts w:ascii="Arial" w:hAnsi="Arial" w:cs="Arial"/>
          <w:sz w:val="20"/>
        </w:rPr>
        <w:t xml:space="preserve">10.1. </w:t>
      </w:r>
      <w:r w:rsidRPr="00440301">
        <w:rPr>
          <w:rFonts w:ascii="Arial" w:hAnsi="Arial" w:cs="Arial"/>
          <w:sz w:val="20"/>
          <w:u w:val="single"/>
        </w:rPr>
        <w:t>Hauteur absolue</w:t>
      </w:r>
      <w:r>
        <w:rPr>
          <w:rFonts w:ascii="Arial" w:hAnsi="Arial" w:cs="Arial"/>
          <w:sz w:val="20"/>
        </w:rPr>
        <w:t> </w:t>
      </w:r>
    </w:p>
    <w:p w:rsidR="00686F28" w:rsidRDefault="00686F28" w:rsidP="00686F28">
      <w:pPr>
        <w:pStyle w:val="Corpsdetexte"/>
        <w:tabs>
          <w:tab w:val="left" w:pos="6804"/>
          <w:tab w:val="left" w:pos="7797"/>
        </w:tabs>
        <w:ind w:left="709"/>
        <w:rPr>
          <w:rFonts w:ascii="Arial" w:hAnsi="Arial" w:cs="Arial"/>
          <w:sz w:val="20"/>
        </w:rPr>
      </w:pPr>
      <w:r w:rsidRPr="0047646A">
        <w:rPr>
          <w:rFonts w:ascii="Arial" w:hAnsi="Arial" w:cs="Arial"/>
          <w:sz w:val="20"/>
        </w:rPr>
        <w:t>a) La hauteur absolue des constructions est mesurée du point le plus haut du polygone d’implantation à l’égout de la toiture.</w:t>
      </w:r>
    </w:p>
    <w:p w:rsidR="00686F28" w:rsidRDefault="00686F28" w:rsidP="00686F28">
      <w:pPr>
        <w:pStyle w:val="Corpsdetexte"/>
        <w:tabs>
          <w:tab w:val="left" w:pos="6804"/>
          <w:tab w:val="left" w:pos="7797"/>
        </w:tabs>
        <w:ind w:left="709"/>
        <w:rPr>
          <w:rFonts w:ascii="Arial" w:hAnsi="Arial" w:cs="Arial"/>
          <w:sz w:val="20"/>
        </w:rPr>
      </w:pPr>
      <w:r w:rsidRPr="0047646A">
        <w:rPr>
          <w:rFonts w:ascii="Arial" w:hAnsi="Arial" w:cs="Arial"/>
          <w:sz w:val="20"/>
        </w:rPr>
        <w:lastRenderedPageBreak/>
        <w:t xml:space="preserve">b) La hauteur absolue des constructions ne doit pas excéder </w:t>
      </w:r>
      <w:r w:rsidR="00763348">
        <w:rPr>
          <w:rFonts w:ascii="Arial" w:hAnsi="Arial" w:cs="Arial"/>
          <w:sz w:val="20"/>
          <w:highlight w:val="green"/>
        </w:rPr>
        <w:t>12</w:t>
      </w:r>
      <w:r w:rsidRPr="00F60964">
        <w:rPr>
          <w:rFonts w:ascii="Arial" w:hAnsi="Arial" w:cs="Arial"/>
          <w:sz w:val="20"/>
          <w:highlight w:val="green"/>
        </w:rPr>
        <w:t xml:space="preserve"> m</w:t>
      </w:r>
      <w:r w:rsidRPr="00F60964">
        <w:rPr>
          <w:rFonts w:ascii="Arial" w:hAnsi="Arial" w:cs="Arial"/>
          <w:sz w:val="20"/>
        </w:rPr>
        <w:t xml:space="preserve"> </w:t>
      </w:r>
      <w:r>
        <w:rPr>
          <w:rFonts w:ascii="Arial" w:hAnsi="Arial" w:cs="Arial"/>
          <w:sz w:val="20"/>
        </w:rPr>
        <w:t>a</w:t>
      </w:r>
      <w:r w:rsidRPr="0047646A">
        <w:rPr>
          <w:rFonts w:ascii="Arial" w:hAnsi="Arial" w:cs="Arial"/>
          <w:sz w:val="20"/>
        </w:rPr>
        <w:t>u point le plus haut du polygone d’implantation</w:t>
      </w:r>
      <w:r w:rsidR="00763348">
        <w:rPr>
          <w:rFonts w:ascii="Arial" w:hAnsi="Arial" w:cs="Arial"/>
          <w:sz w:val="20"/>
        </w:rPr>
        <w:t xml:space="preserve">, sauf les constructions à vocation </w:t>
      </w:r>
      <w:proofErr w:type="spellStart"/>
      <w:r w:rsidR="00763348">
        <w:rPr>
          <w:rFonts w:ascii="Arial" w:hAnsi="Arial" w:cs="Arial"/>
          <w:sz w:val="20"/>
        </w:rPr>
        <w:t>hotelière</w:t>
      </w:r>
      <w:proofErr w:type="spellEnd"/>
      <w:r w:rsidR="00763348">
        <w:rPr>
          <w:rFonts w:ascii="Arial" w:hAnsi="Arial" w:cs="Arial"/>
          <w:sz w:val="20"/>
        </w:rPr>
        <w:t xml:space="preserve"> ou de restauration </w:t>
      </w:r>
      <w:r w:rsidR="006959A9">
        <w:rPr>
          <w:rFonts w:ascii="Arial" w:hAnsi="Arial" w:cs="Arial"/>
          <w:sz w:val="20"/>
        </w:rPr>
        <w:t xml:space="preserve">qui </w:t>
      </w:r>
      <w:r w:rsidR="00763348">
        <w:rPr>
          <w:rFonts w:ascii="Arial" w:hAnsi="Arial" w:cs="Arial"/>
          <w:sz w:val="20"/>
        </w:rPr>
        <w:t xml:space="preserve">ne devront pas excéder </w:t>
      </w:r>
      <w:r w:rsidR="00763348" w:rsidRPr="00763348">
        <w:rPr>
          <w:rFonts w:ascii="Arial" w:hAnsi="Arial" w:cs="Arial"/>
          <w:sz w:val="20"/>
          <w:highlight w:val="green"/>
        </w:rPr>
        <w:t>18m</w:t>
      </w:r>
      <w:r w:rsidR="00763348">
        <w:rPr>
          <w:rFonts w:ascii="Arial" w:hAnsi="Arial" w:cs="Arial"/>
          <w:sz w:val="20"/>
        </w:rPr>
        <w:t xml:space="preserve">. </w:t>
      </w:r>
    </w:p>
    <w:p w:rsidR="00763348" w:rsidRPr="0047646A" w:rsidRDefault="00763348" w:rsidP="00686F28">
      <w:pPr>
        <w:pStyle w:val="Corpsdetexte"/>
        <w:tabs>
          <w:tab w:val="left" w:pos="6804"/>
          <w:tab w:val="left" w:pos="7797"/>
        </w:tabs>
        <w:ind w:left="709"/>
        <w:rPr>
          <w:rFonts w:ascii="Arial" w:hAnsi="Arial" w:cs="Arial"/>
          <w:sz w:val="20"/>
        </w:rPr>
      </w:pPr>
    </w:p>
    <w:p w:rsidR="00686F28" w:rsidRDefault="00686F28" w:rsidP="00686F28">
      <w:pPr>
        <w:pStyle w:val="REGLEMENT"/>
        <w:tabs>
          <w:tab w:val="left" w:pos="567"/>
        </w:tabs>
        <w:rPr>
          <w:rFonts w:ascii="Arial" w:hAnsi="Arial" w:cs="Arial"/>
          <w:sz w:val="20"/>
        </w:rPr>
      </w:pPr>
      <w:r w:rsidRPr="0047646A">
        <w:rPr>
          <w:rFonts w:ascii="Arial" w:hAnsi="Arial" w:cs="Arial"/>
          <w:sz w:val="20"/>
        </w:rPr>
        <w:t>10.2. Cette règle ne s’applique pas pour les bâtiments à structure verticale exceptionnelle tels que clocher, château d’eau, pylône, etc</w:t>
      </w:r>
      <w:r>
        <w:rPr>
          <w:rFonts w:ascii="Arial" w:hAnsi="Arial" w:cs="Arial"/>
          <w:sz w:val="20"/>
        </w:rPr>
        <w:t>…</w:t>
      </w:r>
    </w:p>
    <w:p w:rsidR="00686F28" w:rsidRPr="0047646A" w:rsidRDefault="00686F28" w:rsidP="00686F28">
      <w:pPr>
        <w:pStyle w:val="REGLEMENT"/>
        <w:tabs>
          <w:tab w:val="left" w:pos="567"/>
        </w:tabs>
        <w:rPr>
          <w:rFonts w:ascii="Arial" w:hAnsi="Arial" w:cs="Arial"/>
          <w:sz w:val="20"/>
        </w:rPr>
      </w:pPr>
    </w:p>
    <w:p w:rsidR="00686F28" w:rsidRPr="0047646A" w:rsidRDefault="00686F28" w:rsidP="00686F28">
      <w:pPr>
        <w:pStyle w:val="REGLEMENT"/>
        <w:tabs>
          <w:tab w:val="left" w:pos="567"/>
        </w:tabs>
        <w:rPr>
          <w:rFonts w:ascii="Arial" w:hAnsi="Arial" w:cs="Arial"/>
          <w:sz w:val="20"/>
        </w:rPr>
      </w:pPr>
      <w:r w:rsidRPr="0047646A">
        <w:rPr>
          <w:rFonts w:ascii="Arial" w:hAnsi="Arial" w:cs="Arial"/>
          <w:sz w:val="20"/>
        </w:rPr>
        <w:t>Cet article ne s'applique pas non plus aux ouvrages techniques nécessaires au fonctionnement des services publics ou concourant aux missions des services publics.</w:t>
      </w:r>
    </w:p>
    <w:p w:rsidR="009F1ADE" w:rsidRPr="00A46509" w:rsidRDefault="009F1ADE" w:rsidP="009F1ADE">
      <w:pPr>
        <w:rPr>
          <w:rFonts w:ascii="Tw Cen MT" w:hAnsi="Tw Cen MT"/>
        </w:rPr>
      </w:pPr>
    </w:p>
    <w:p w:rsidR="009029E4" w:rsidRDefault="003E65ED" w:rsidP="00AD1891">
      <w:pPr>
        <w:rPr>
          <w:rFonts w:ascii="Tw Cen MT" w:hAnsi="Tw Cen MT"/>
          <w:b/>
          <w:sz w:val="24"/>
          <w:szCs w:val="24"/>
        </w:rPr>
      </w:pPr>
      <w:r w:rsidRPr="00A46509">
        <w:rPr>
          <w:rFonts w:ascii="Tw Cen MT" w:hAnsi="Tw Cen MT"/>
          <w:b/>
          <w:sz w:val="24"/>
          <w:szCs w:val="24"/>
        </w:rPr>
        <w:t xml:space="preserve">Les </w:t>
      </w:r>
      <w:r w:rsidR="009F1ADE" w:rsidRPr="00A46509">
        <w:rPr>
          <w:rFonts w:ascii="Tw Cen MT" w:hAnsi="Tw Cen MT"/>
          <w:b/>
          <w:sz w:val="24"/>
          <w:szCs w:val="24"/>
        </w:rPr>
        <w:t xml:space="preserve">autres </w:t>
      </w:r>
      <w:r w:rsidRPr="00A46509">
        <w:rPr>
          <w:rFonts w:ascii="Tw Cen MT" w:hAnsi="Tw Cen MT"/>
          <w:b/>
          <w:sz w:val="24"/>
          <w:szCs w:val="24"/>
        </w:rPr>
        <w:t xml:space="preserve">articles </w:t>
      </w:r>
      <w:r w:rsidR="00775746" w:rsidRPr="00A46509">
        <w:rPr>
          <w:rFonts w:ascii="Tw Cen MT" w:hAnsi="Tw Cen MT"/>
          <w:b/>
          <w:sz w:val="24"/>
          <w:szCs w:val="24"/>
        </w:rPr>
        <w:t xml:space="preserve">sont inchangés. </w:t>
      </w:r>
    </w:p>
    <w:p w:rsidR="00F60964" w:rsidRPr="00F60964" w:rsidRDefault="00F60964" w:rsidP="00AD1891">
      <w:pPr>
        <w:rPr>
          <w:rFonts w:ascii="Tw Cen MT" w:hAnsi="Tw Cen MT"/>
          <w:b/>
          <w:sz w:val="24"/>
          <w:szCs w:val="24"/>
        </w:rPr>
      </w:pPr>
    </w:p>
    <w:p w:rsidR="0007260F" w:rsidRPr="00A46509" w:rsidRDefault="00863188" w:rsidP="00863188">
      <w:pPr>
        <w:pStyle w:val="Titre1"/>
        <w:numPr>
          <w:ilvl w:val="0"/>
          <w:numId w:val="1"/>
        </w:numPr>
        <w:rPr>
          <w:rFonts w:ascii="Tw Cen MT" w:hAnsi="Tw Cen MT"/>
          <w:sz w:val="24"/>
          <w:szCs w:val="24"/>
        </w:rPr>
      </w:pPr>
      <w:bookmarkStart w:id="4" w:name="_Toc45293379"/>
      <w:r w:rsidRPr="00A46509">
        <w:rPr>
          <w:rFonts w:ascii="Tw Cen MT" w:hAnsi="Tw Cen MT"/>
          <w:sz w:val="24"/>
          <w:szCs w:val="24"/>
        </w:rPr>
        <w:t>EFFETS DE LA MODIFICATION SIMPLIFIEE</w:t>
      </w:r>
      <w:bookmarkEnd w:id="4"/>
      <w:r w:rsidRPr="00A46509">
        <w:rPr>
          <w:rFonts w:ascii="Tw Cen MT" w:hAnsi="Tw Cen MT"/>
          <w:sz w:val="24"/>
          <w:szCs w:val="24"/>
        </w:rPr>
        <w:t xml:space="preserve"> </w:t>
      </w:r>
    </w:p>
    <w:p w:rsidR="00863188" w:rsidRPr="00A46509" w:rsidRDefault="00863188" w:rsidP="00863188">
      <w:pPr>
        <w:rPr>
          <w:rFonts w:ascii="Tw Cen MT" w:hAnsi="Tw Cen MT"/>
          <w:sz w:val="24"/>
          <w:szCs w:val="24"/>
        </w:rPr>
      </w:pPr>
    </w:p>
    <w:p w:rsidR="00863188" w:rsidRPr="00A46509" w:rsidRDefault="00863188" w:rsidP="00863188">
      <w:pPr>
        <w:pStyle w:val="Titre2"/>
        <w:numPr>
          <w:ilvl w:val="1"/>
          <w:numId w:val="1"/>
        </w:numPr>
        <w:rPr>
          <w:rFonts w:ascii="Tw Cen MT" w:hAnsi="Tw Cen MT"/>
          <w:sz w:val="24"/>
          <w:szCs w:val="24"/>
        </w:rPr>
      </w:pPr>
      <w:bookmarkStart w:id="5" w:name="_Toc45293380"/>
      <w:r w:rsidRPr="00A46509">
        <w:rPr>
          <w:rFonts w:ascii="Tw Cen MT" w:hAnsi="Tw Cen MT"/>
          <w:sz w:val="24"/>
          <w:szCs w:val="24"/>
        </w:rPr>
        <w:t>Projet urbain – PADD</w:t>
      </w:r>
      <w:bookmarkEnd w:id="5"/>
      <w:r w:rsidRPr="00A46509">
        <w:rPr>
          <w:rFonts w:ascii="Tw Cen MT" w:hAnsi="Tw Cen MT"/>
          <w:sz w:val="24"/>
          <w:szCs w:val="24"/>
        </w:rPr>
        <w:t xml:space="preserve"> </w:t>
      </w:r>
    </w:p>
    <w:p w:rsidR="00CB29BE" w:rsidRPr="00A46509" w:rsidRDefault="00CB29BE" w:rsidP="00863188">
      <w:pPr>
        <w:rPr>
          <w:rFonts w:ascii="Tw Cen MT" w:hAnsi="Tw Cen MT"/>
          <w:sz w:val="24"/>
          <w:szCs w:val="24"/>
        </w:rPr>
      </w:pPr>
    </w:p>
    <w:p w:rsidR="006D4945" w:rsidRDefault="00CB29BE" w:rsidP="006D4945">
      <w:pPr>
        <w:rPr>
          <w:rFonts w:ascii="Tw Cen MT" w:hAnsi="Tw Cen MT"/>
          <w:sz w:val="24"/>
          <w:szCs w:val="24"/>
        </w:rPr>
      </w:pPr>
      <w:r w:rsidRPr="00A46509">
        <w:rPr>
          <w:rFonts w:ascii="Tw Cen MT" w:hAnsi="Tw Cen MT"/>
          <w:sz w:val="24"/>
          <w:szCs w:val="24"/>
        </w:rPr>
        <w:t>L’évolution du règlement n’entrave pas la mise en œuvre des axes du PADD</w:t>
      </w:r>
      <w:r w:rsidR="006D4945">
        <w:rPr>
          <w:rFonts w:ascii="Tw Cen MT" w:hAnsi="Tw Cen MT"/>
          <w:sz w:val="24"/>
          <w:szCs w:val="24"/>
        </w:rPr>
        <w:t xml:space="preserve">. Elle vient faciliter la mise en œuvre de l’axe 4 : maintenir et renforcer le tissu économique : </w:t>
      </w:r>
    </w:p>
    <w:p w:rsidR="00CB29BE" w:rsidRPr="006D4945" w:rsidRDefault="006D4945" w:rsidP="006D4945">
      <w:pPr>
        <w:pStyle w:val="Paragraphedeliste"/>
        <w:numPr>
          <w:ilvl w:val="0"/>
          <w:numId w:val="9"/>
        </w:numPr>
        <w:rPr>
          <w:rFonts w:ascii="Tw Cen MT" w:hAnsi="Tw Cen MT"/>
          <w:sz w:val="24"/>
          <w:szCs w:val="24"/>
        </w:rPr>
      </w:pPr>
      <w:r>
        <w:rPr>
          <w:rFonts w:ascii="Tw Cen MT" w:hAnsi="Tw Cen MT"/>
          <w:sz w:val="24"/>
          <w:szCs w:val="24"/>
        </w:rPr>
        <w:t xml:space="preserve">Pérenniser l’activité tertiaire et technopolitaine du secteur Brabois Forestière. </w:t>
      </w:r>
      <w:r w:rsidRPr="006D4945">
        <w:rPr>
          <w:rFonts w:ascii="Tw Cen MT" w:hAnsi="Tw Cen MT"/>
          <w:sz w:val="24"/>
          <w:szCs w:val="24"/>
        </w:rPr>
        <w:t xml:space="preserve">  </w:t>
      </w:r>
    </w:p>
    <w:p w:rsidR="009029E4" w:rsidRPr="00A46509" w:rsidRDefault="009029E4" w:rsidP="0074400C">
      <w:pPr>
        <w:jc w:val="both"/>
        <w:rPr>
          <w:rFonts w:ascii="Tw Cen MT" w:hAnsi="Tw Cen MT"/>
          <w:sz w:val="24"/>
          <w:szCs w:val="24"/>
        </w:rPr>
      </w:pPr>
    </w:p>
    <w:p w:rsidR="00863188" w:rsidRPr="00A46509" w:rsidRDefault="00863188" w:rsidP="0074400C">
      <w:pPr>
        <w:pStyle w:val="Titre2"/>
        <w:numPr>
          <w:ilvl w:val="1"/>
          <w:numId w:val="1"/>
        </w:numPr>
        <w:jc w:val="both"/>
        <w:rPr>
          <w:rFonts w:ascii="Tw Cen MT" w:hAnsi="Tw Cen MT"/>
          <w:sz w:val="24"/>
          <w:szCs w:val="24"/>
        </w:rPr>
      </w:pPr>
      <w:bookmarkStart w:id="6" w:name="_Toc45293381"/>
      <w:r w:rsidRPr="00A46509">
        <w:rPr>
          <w:rFonts w:ascii="Tw Cen MT" w:hAnsi="Tw Cen MT"/>
          <w:sz w:val="24"/>
          <w:szCs w:val="24"/>
        </w:rPr>
        <w:t>Analyse urbaine</w:t>
      </w:r>
      <w:bookmarkEnd w:id="6"/>
      <w:r w:rsidRPr="00A46509">
        <w:rPr>
          <w:rFonts w:ascii="Tw Cen MT" w:hAnsi="Tw Cen MT"/>
          <w:sz w:val="24"/>
          <w:szCs w:val="24"/>
        </w:rPr>
        <w:t xml:space="preserve"> </w:t>
      </w:r>
    </w:p>
    <w:p w:rsidR="00863188" w:rsidRPr="00A46509" w:rsidRDefault="00863188" w:rsidP="0074400C">
      <w:pPr>
        <w:jc w:val="both"/>
        <w:rPr>
          <w:rFonts w:ascii="Tw Cen MT" w:hAnsi="Tw Cen MT"/>
          <w:sz w:val="24"/>
          <w:szCs w:val="24"/>
        </w:rPr>
      </w:pPr>
    </w:p>
    <w:p w:rsidR="00C1661A" w:rsidRDefault="001B1493" w:rsidP="0074400C">
      <w:pPr>
        <w:jc w:val="both"/>
        <w:rPr>
          <w:rFonts w:ascii="Tw Cen MT" w:hAnsi="Tw Cen MT"/>
          <w:sz w:val="24"/>
          <w:szCs w:val="24"/>
          <w:highlight w:val="yellow"/>
        </w:rPr>
      </w:pPr>
      <w:r w:rsidRPr="00763348">
        <w:rPr>
          <w:rFonts w:ascii="Tw Cen MT" w:hAnsi="Tw Cen MT"/>
          <w:sz w:val="24"/>
          <w:szCs w:val="24"/>
          <w:highlight w:val="yellow"/>
        </w:rPr>
        <w:t xml:space="preserve">Il est à noter que la modification simplifiée </w:t>
      </w:r>
      <w:r w:rsidR="00F60964" w:rsidRPr="00763348">
        <w:rPr>
          <w:rFonts w:ascii="Tw Cen MT" w:hAnsi="Tw Cen MT"/>
          <w:sz w:val="24"/>
          <w:szCs w:val="24"/>
          <w:highlight w:val="yellow"/>
        </w:rPr>
        <w:t>entraine une légère augmentation de la constructibilité en permettant d’augmenter la surface en hauteur</w:t>
      </w:r>
      <w:r w:rsidR="00763348">
        <w:rPr>
          <w:rFonts w:ascii="Tw Cen MT" w:hAnsi="Tw Cen MT"/>
          <w:sz w:val="24"/>
          <w:szCs w:val="24"/>
          <w:highlight w:val="yellow"/>
        </w:rPr>
        <w:t xml:space="preserve">, mais uniquement pour les constructions à </w:t>
      </w:r>
      <w:proofErr w:type="gramStart"/>
      <w:r w:rsidR="00763348">
        <w:rPr>
          <w:rFonts w:ascii="Tw Cen MT" w:hAnsi="Tw Cen MT"/>
          <w:sz w:val="24"/>
          <w:szCs w:val="24"/>
          <w:highlight w:val="yellow"/>
        </w:rPr>
        <w:t>vocation  d’hébergement</w:t>
      </w:r>
      <w:proofErr w:type="gramEnd"/>
      <w:r w:rsidR="00763348">
        <w:rPr>
          <w:rFonts w:ascii="Tw Cen MT" w:hAnsi="Tw Cen MT"/>
          <w:sz w:val="24"/>
          <w:szCs w:val="24"/>
          <w:highlight w:val="yellow"/>
        </w:rPr>
        <w:t xml:space="preserve"> h</w:t>
      </w:r>
      <w:r w:rsidR="006D4945">
        <w:rPr>
          <w:rFonts w:ascii="Tw Cen MT" w:hAnsi="Tw Cen MT"/>
          <w:sz w:val="24"/>
          <w:szCs w:val="24"/>
          <w:highlight w:val="yellow"/>
        </w:rPr>
        <w:t>ô</w:t>
      </w:r>
      <w:r w:rsidR="00763348">
        <w:rPr>
          <w:rFonts w:ascii="Tw Cen MT" w:hAnsi="Tw Cen MT"/>
          <w:sz w:val="24"/>
          <w:szCs w:val="24"/>
          <w:highlight w:val="yellow"/>
        </w:rPr>
        <w:t>telier ou de restauration</w:t>
      </w:r>
      <w:r w:rsidR="00F60964" w:rsidRPr="00763348">
        <w:rPr>
          <w:rFonts w:ascii="Tw Cen MT" w:hAnsi="Tw Cen MT"/>
          <w:sz w:val="24"/>
          <w:szCs w:val="24"/>
          <w:highlight w:val="yellow"/>
        </w:rPr>
        <w:t xml:space="preserve">. </w:t>
      </w:r>
    </w:p>
    <w:p w:rsidR="006D4945" w:rsidRPr="00763348" w:rsidRDefault="006D4945" w:rsidP="0074400C">
      <w:pPr>
        <w:jc w:val="both"/>
        <w:rPr>
          <w:rFonts w:ascii="Tw Cen MT" w:hAnsi="Tw Cen MT"/>
          <w:sz w:val="24"/>
          <w:szCs w:val="24"/>
          <w:highlight w:val="yellow"/>
        </w:rPr>
      </w:pPr>
      <w:r>
        <w:rPr>
          <w:rFonts w:ascii="Tw Cen MT" w:hAnsi="Tw Cen MT"/>
          <w:sz w:val="24"/>
          <w:szCs w:val="24"/>
          <w:highlight w:val="yellow"/>
        </w:rPr>
        <w:t xml:space="preserve">Cette nouvelle rédaction n’engendre pas de droit à construire de plus de 20% sur la zone 1 </w:t>
      </w:r>
      <w:proofErr w:type="spellStart"/>
      <w:r>
        <w:rPr>
          <w:rFonts w:ascii="Tw Cen MT" w:hAnsi="Tw Cen MT"/>
          <w:sz w:val="24"/>
          <w:szCs w:val="24"/>
          <w:highlight w:val="yellow"/>
        </w:rPr>
        <w:t>AUya</w:t>
      </w:r>
      <w:proofErr w:type="spellEnd"/>
      <w:r>
        <w:rPr>
          <w:rFonts w:ascii="Tw Cen MT" w:hAnsi="Tw Cen MT"/>
          <w:sz w:val="24"/>
          <w:szCs w:val="24"/>
          <w:highlight w:val="yellow"/>
        </w:rPr>
        <w:t xml:space="preserve">, d’autant que la zone accueille déjà de nombreuses activités tertiaires hors restauration et hôtellerie. </w:t>
      </w:r>
    </w:p>
    <w:p w:rsidR="00763348" w:rsidRPr="00A46509" w:rsidRDefault="00763348" w:rsidP="0074400C">
      <w:pPr>
        <w:jc w:val="both"/>
        <w:rPr>
          <w:rFonts w:ascii="Tw Cen MT" w:hAnsi="Tw Cen MT"/>
          <w:sz w:val="24"/>
          <w:szCs w:val="24"/>
        </w:rPr>
      </w:pPr>
    </w:p>
    <w:p w:rsidR="00863188" w:rsidRPr="00A46509" w:rsidRDefault="00C1661A" w:rsidP="0074400C">
      <w:pPr>
        <w:pStyle w:val="Titre2"/>
        <w:numPr>
          <w:ilvl w:val="1"/>
          <w:numId w:val="1"/>
        </w:numPr>
        <w:jc w:val="both"/>
        <w:rPr>
          <w:rFonts w:ascii="Tw Cen MT" w:hAnsi="Tw Cen MT"/>
          <w:sz w:val="24"/>
          <w:szCs w:val="24"/>
        </w:rPr>
      </w:pPr>
      <w:bookmarkStart w:id="7" w:name="_Toc45293382"/>
      <w:r w:rsidRPr="00A46509">
        <w:rPr>
          <w:rFonts w:ascii="Tw Cen MT" w:hAnsi="Tw Cen MT"/>
          <w:sz w:val="24"/>
          <w:szCs w:val="24"/>
        </w:rPr>
        <w:t>M</w:t>
      </w:r>
      <w:r w:rsidR="00863188" w:rsidRPr="00A46509">
        <w:rPr>
          <w:rFonts w:ascii="Tw Cen MT" w:hAnsi="Tw Cen MT"/>
          <w:sz w:val="24"/>
          <w:szCs w:val="24"/>
        </w:rPr>
        <w:t>ilieux naturels et risques</w:t>
      </w:r>
      <w:bookmarkEnd w:id="7"/>
      <w:r w:rsidR="00863188" w:rsidRPr="00A46509">
        <w:rPr>
          <w:rFonts w:ascii="Tw Cen MT" w:hAnsi="Tw Cen MT"/>
          <w:sz w:val="24"/>
          <w:szCs w:val="24"/>
        </w:rPr>
        <w:t xml:space="preserve"> </w:t>
      </w:r>
    </w:p>
    <w:p w:rsidR="00863188" w:rsidRPr="00A46509" w:rsidRDefault="00863188" w:rsidP="0074400C">
      <w:pPr>
        <w:jc w:val="both"/>
        <w:rPr>
          <w:rFonts w:ascii="Tw Cen MT" w:hAnsi="Tw Cen MT"/>
          <w:sz w:val="24"/>
          <w:szCs w:val="24"/>
        </w:rPr>
      </w:pPr>
    </w:p>
    <w:p w:rsidR="00C1661A" w:rsidRDefault="006D4945" w:rsidP="0074400C">
      <w:pPr>
        <w:jc w:val="both"/>
        <w:rPr>
          <w:rFonts w:ascii="Tw Cen MT" w:hAnsi="Tw Cen MT"/>
          <w:sz w:val="24"/>
          <w:szCs w:val="24"/>
        </w:rPr>
      </w:pPr>
      <w:r>
        <w:rPr>
          <w:rFonts w:ascii="Tw Cen MT" w:hAnsi="Tw Cen MT"/>
          <w:sz w:val="24"/>
          <w:szCs w:val="24"/>
        </w:rPr>
        <w:t xml:space="preserve">La commune </w:t>
      </w:r>
      <w:r w:rsidR="00763348">
        <w:rPr>
          <w:rFonts w:ascii="Tw Cen MT" w:hAnsi="Tw Cen MT"/>
          <w:sz w:val="24"/>
          <w:szCs w:val="24"/>
        </w:rPr>
        <w:t>n’est pas concernée par un site Natura 2000</w:t>
      </w:r>
      <w:r>
        <w:rPr>
          <w:rFonts w:ascii="Tw Cen MT" w:hAnsi="Tw Cen MT"/>
          <w:sz w:val="24"/>
          <w:szCs w:val="24"/>
        </w:rPr>
        <w:t>. La zone économique est couverte en partie par une ZNIEFF de type 2 Plateau de Haye et bois l’</w:t>
      </w:r>
      <w:proofErr w:type="spellStart"/>
      <w:r>
        <w:rPr>
          <w:rFonts w:ascii="Tw Cen MT" w:hAnsi="Tw Cen MT"/>
          <w:sz w:val="24"/>
          <w:szCs w:val="24"/>
        </w:rPr>
        <w:t>Eveque</w:t>
      </w:r>
      <w:proofErr w:type="spellEnd"/>
      <w:r>
        <w:rPr>
          <w:rFonts w:ascii="Tw Cen MT" w:hAnsi="Tw Cen MT"/>
          <w:sz w:val="24"/>
          <w:szCs w:val="24"/>
        </w:rPr>
        <w:t xml:space="preserve"> mais la modification n’a pas d’incidence supplémentaire sur cette ZNIEFF. </w:t>
      </w:r>
    </w:p>
    <w:p w:rsidR="006D4945" w:rsidRDefault="006D4945" w:rsidP="0074400C">
      <w:pPr>
        <w:jc w:val="both"/>
        <w:rPr>
          <w:rFonts w:ascii="Tw Cen MT" w:hAnsi="Tw Cen MT"/>
          <w:sz w:val="24"/>
          <w:szCs w:val="24"/>
        </w:rPr>
      </w:pPr>
      <w:r>
        <w:rPr>
          <w:rFonts w:ascii="Tw Cen MT" w:hAnsi="Tw Cen MT"/>
          <w:sz w:val="24"/>
          <w:szCs w:val="24"/>
        </w:rPr>
        <w:t xml:space="preserve">La modification n’a donc pas d’incidence sur les milieux naturels. </w:t>
      </w:r>
    </w:p>
    <w:p w:rsidR="006D4945" w:rsidRPr="00A46509" w:rsidRDefault="006D4945" w:rsidP="0074400C">
      <w:pPr>
        <w:jc w:val="both"/>
        <w:rPr>
          <w:rFonts w:ascii="Tw Cen MT" w:hAnsi="Tw Cen MT"/>
          <w:sz w:val="24"/>
          <w:szCs w:val="24"/>
        </w:rPr>
      </w:pPr>
      <w:r>
        <w:rPr>
          <w:rFonts w:ascii="Tw Cen MT" w:hAnsi="Tw Cen MT"/>
          <w:sz w:val="24"/>
          <w:szCs w:val="24"/>
        </w:rPr>
        <w:t xml:space="preserve">Le secteur 1 </w:t>
      </w:r>
      <w:proofErr w:type="spellStart"/>
      <w:r>
        <w:rPr>
          <w:rFonts w:ascii="Tw Cen MT" w:hAnsi="Tw Cen MT"/>
          <w:sz w:val="24"/>
          <w:szCs w:val="24"/>
        </w:rPr>
        <w:t>AUya</w:t>
      </w:r>
      <w:proofErr w:type="spellEnd"/>
      <w:r>
        <w:rPr>
          <w:rFonts w:ascii="Tw Cen MT" w:hAnsi="Tw Cen MT"/>
          <w:sz w:val="24"/>
          <w:szCs w:val="24"/>
        </w:rPr>
        <w:t xml:space="preserve"> n’est pas concerné par un risque. Elle est </w:t>
      </w:r>
      <w:r w:rsidR="00C4582C">
        <w:rPr>
          <w:rFonts w:ascii="Tw Cen MT" w:hAnsi="Tw Cen MT"/>
          <w:sz w:val="24"/>
          <w:szCs w:val="24"/>
        </w:rPr>
        <w:t>seulement concernée</w:t>
      </w:r>
      <w:r>
        <w:rPr>
          <w:rFonts w:ascii="Tw Cen MT" w:hAnsi="Tw Cen MT"/>
          <w:sz w:val="24"/>
          <w:szCs w:val="24"/>
        </w:rPr>
        <w:t xml:space="preserve"> par l’aléa retrait et gonflement d’argile nécessitant déjà une étude géotechnique. La modification n’a donc pas d’incidence sur les risques naturels. </w:t>
      </w:r>
    </w:p>
    <w:sectPr w:rsidR="006D4945" w:rsidRPr="00A46509" w:rsidSect="00357A29">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7A" w:rsidRDefault="00530F7A" w:rsidP="00357A29">
      <w:pPr>
        <w:spacing w:after="0" w:line="240" w:lineRule="auto"/>
      </w:pPr>
      <w:r>
        <w:separator/>
      </w:r>
    </w:p>
  </w:endnote>
  <w:endnote w:type="continuationSeparator" w:id="0">
    <w:p w:rsidR="00530F7A" w:rsidRDefault="00530F7A" w:rsidP="0035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700884"/>
      <w:docPartObj>
        <w:docPartGallery w:val="Page Numbers (Bottom of Page)"/>
        <w:docPartUnique/>
      </w:docPartObj>
    </w:sdtPr>
    <w:sdtEndPr/>
    <w:sdtContent>
      <w:p w:rsidR="00357A29" w:rsidRDefault="00357A29">
        <w:pPr>
          <w:pStyle w:val="Pieddepage"/>
          <w:jc w:val="right"/>
        </w:pPr>
        <w:r>
          <w:fldChar w:fldCharType="begin"/>
        </w:r>
        <w:r>
          <w:instrText>PAGE   \* MERGEFORMAT</w:instrText>
        </w:r>
        <w:r>
          <w:fldChar w:fldCharType="separate"/>
        </w:r>
        <w:r w:rsidR="008F39F7">
          <w:rPr>
            <w:noProof/>
          </w:rPr>
          <w:t>2</w:t>
        </w:r>
        <w:r>
          <w:fldChar w:fldCharType="end"/>
        </w:r>
      </w:p>
    </w:sdtContent>
  </w:sdt>
  <w:p w:rsidR="00357A29" w:rsidRDefault="00357A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7A" w:rsidRDefault="00530F7A" w:rsidP="00357A29">
      <w:pPr>
        <w:spacing w:after="0" w:line="240" w:lineRule="auto"/>
      </w:pPr>
      <w:r>
        <w:separator/>
      </w:r>
    </w:p>
  </w:footnote>
  <w:footnote w:type="continuationSeparator" w:id="0">
    <w:p w:rsidR="00530F7A" w:rsidRDefault="00530F7A" w:rsidP="0035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6CB"/>
    <w:multiLevelType w:val="hybridMultilevel"/>
    <w:tmpl w:val="016A8340"/>
    <w:lvl w:ilvl="0" w:tplc="6612278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A6ED8"/>
    <w:multiLevelType w:val="hybridMultilevel"/>
    <w:tmpl w:val="3886C10A"/>
    <w:lvl w:ilvl="0" w:tplc="621E937A">
      <w:start w:val="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3A5257"/>
    <w:multiLevelType w:val="hybridMultilevel"/>
    <w:tmpl w:val="526A3A3C"/>
    <w:lvl w:ilvl="0" w:tplc="A97CA30A">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8712C"/>
    <w:multiLevelType w:val="multilevel"/>
    <w:tmpl w:val="A1469F6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46418DE"/>
    <w:multiLevelType w:val="hybridMultilevel"/>
    <w:tmpl w:val="18A243A0"/>
    <w:lvl w:ilvl="0" w:tplc="B63A418C">
      <w:start w:val="2"/>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263BE2"/>
    <w:multiLevelType w:val="hybridMultilevel"/>
    <w:tmpl w:val="AEA81894"/>
    <w:lvl w:ilvl="0" w:tplc="DA384F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1C0E0B"/>
    <w:multiLevelType w:val="hybridMultilevel"/>
    <w:tmpl w:val="9D404692"/>
    <w:lvl w:ilvl="0" w:tplc="02EC8EAA">
      <w:start w:val="2"/>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7717F2"/>
    <w:multiLevelType w:val="hybridMultilevel"/>
    <w:tmpl w:val="D76ABCAC"/>
    <w:lvl w:ilvl="0" w:tplc="454CE5CE">
      <w:start w:val="2"/>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29"/>
    <w:rsid w:val="000227A1"/>
    <w:rsid w:val="00036957"/>
    <w:rsid w:val="000422A5"/>
    <w:rsid w:val="0007260F"/>
    <w:rsid w:val="000F3074"/>
    <w:rsid w:val="00184D5A"/>
    <w:rsid w:val="001B1493"/>
    <w:rsid w:val="001B47C7"/>
    <w:rsid w:val="001D5ABC"/>
    <w:rsid w:val="00201645"/>
    <w:rsid w:val="00220131"/>
    <w:rsid w:val="00234899"/>
    <w:rsid w:val="0026034B"/>
    <w:rsid w:val="002C2167"/>
    <w:rsid w:val="002D6301"/>
    <w:rsid w:val="002E2A1C"/>
    <w:rsid w:val="00357A29"/>
    <w:rsid w:val="00382B99"/>
    <w:rsid w:val="003B5F42"/>
    <w:rsid w:val="003B713E"/>
    <w:rsid w:val="003E65ED"/>
    <w:rsid w:val="00451362"/>
    <w:rsid w:val="00454410"/>
    <w:rsid w:val="00471152"/>
    <w:rsid w:val="004C37B8"/>
    <w:rsid w:val="004C559B"/>
    <w:rsid w:val="004D7D2C"/>
    <w:rsid w:val="004E3FCD"/>
    <w:rsid w:val="004F6F65"/>
    <w:rsid w:val="004F780F"/>
    <w:rsid w:val="005020D6"/>
    <w:rsid w:val="00524955"/>
    <w:rsid w:val="00530F7A"/>
    <w:rsid w:val="00544B38"/>
    <w:rsid w:val="0060444B"/>
    <w:rsid w:val="00625EF1"/>
    <w:rsid w:val="00657AF6"/>
    <w:rsid w:val="0067347A"/>
    <w:rsid w:val="0068153B"/>
    <w:rsid w:val="00682170"/>
    <w:rsid w:val="006858F1"/>
    <w:rsid w:val="00686F28"/>
    <w:rsid w:val="0068726B"/>
    <w:rsid w:val="006959A9"/>
    <w:rsid w:val="006C2C19"/>
    <w:rsid w:val="006D4945"/>
    <w:rsid w:val="00723BAF"/>
    <w:rsid w:val="0074400C"/>
    <w:rsid w:val="00763348"/>
    <w:rsid w:val="00763763"/>
    <w:rsid w:val="00775746"/>
    <w:rsid w:val="007F65CE"/>
    <w:rsid w:val="0081111C"/>
    <w:rsid w:val="0082167E"/>
    <w:rsid w:val="00843CB9"/>
    <w:rsid w:val="00857DBA"/>
    <w:rsid w:val="00863188"/>
    <w:rsid w:val="008C0A21"/>
    <w:rsid w:val="008E6ACF"/>
    <w:rsid w:val="008F39F7"/>
    <w:rsid w:val="009029E4"/>
    <w:rsid w:val="00933E10"/>
    <w:rsid w:val="00946D27"/>
    <w:rsid w:val="00977B1E"/>
    <w:rsid w:val="00993124"/>
    <w:rsid w:val="009A53C4"/>
    <w:rsid w:val="009D36DA"/>
    <w:rsid w:val="009F1ADE"/>
    <w:rsid w:val="00A00E84"/>
    <w:rsid w:val="00A04B39"/>
    <w:rsid w:val="00A3700C"/>
    <w:rsid w:val="00A46509"/>
    <w:rsid w:val="00A529E7"/>
    <w:rsid w:val="00A94F7F"/>
    <w:rsid w:val="00AA56EE"/>
    <w:rsid w:val="00AD1891"/>
    <w:rsid w:val="00AF4E64"/>
    <w:rsid w:val="00B22730"/>
    <w:rsid w:val="00B25196"/>
    <w:rsid w:val="00C11EA1"/>
    <w:rsid w:val="00C1661A"/>
    <w:rsid w:val="00C4582C"/>
    <w:rsid w:val="00C479B6"/>
    <w:rsid w:val="00C811B3"/>
    <w:rsid w:val="00CB29BE"/>
    <w:rsid w:val="00CC1197"/>
    <w:rsid w:val="00CE3860"/>
    <w:rsid w:val="00CF1F2E"/>
    <w:rsid w:val="00D14D5E"/>
    <w:rsid w:val="00D667B1"/>
    <w:rsid w:val="00D705C6"/>
    <w:rsid w:val="00DA20B3"/>
    <w:rsid w:val="00DB1ADE"/>
    <w:rsid w:val="00DD6F90"/>
    <w:rsid w:val="00DF467F"/>
    <w:rsid w:val="00E11A87"/>
    <w:rsid w:val="00E41A2C"/>
    <w:rsid w:val="00E5310B"/>
    <w:rsid w:val="00E83AD6"/>
    <w:rsid w:val="00ED1D00"/>
    <w:rsid w:val="00ED3D22"/>
    <w:rsid w:val="00F46F8A"/>
    <w:rsid w:val="00F6081B"/>
    <w:rsid w:val="00F60964"/>
    <w:rsid w:val="00F6483B"/>
    <w:rsid w:val="00FC4EAC"/>
    <w:rsid w:val="00FF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4A497-235C-4880-8BF7-66B4277D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7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63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044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21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7A29"/>
    <w:pPr>
      <w:tabs>
        <w:tab w:val="center" w:pos="4536"/>
        <w:tab w:val="right" w:pos="9072"/>
      </w:tabs>
      <w:spacing w:after="0" w:line="240" w:lineRule="auto"/>
    </w:pPr>
  </w:style>
  <w:style w:type="character" w:customStyle="1" w:styleId="En-tteCar">
    <w:name w:val="En-tête Car"/>
    <w:basedOn w:val="Policepardfaut"/>
    <w:link w:val="En-tte"/>
    <w:rsid w:val="00357A29"/>
  </w:style>
  <w:style w:type="paragraph" w:styleId="Pieddepage">
    <w:name w:val="footer"/>
    <w:basedOn w:val="Normal"/>
    <w:link w:val="PieddepageCar"/>
    <w:uiPriority w:val="99"/>
    <w:unhideWhenUsed/>
    <w:rsid w:val="00357A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A29"/>
  </w:style>
  <w:style w:type="character" w:customStyle="1" w:styleId="Titre1Car">
    <w:name w:val="Titre 1 Car"/>
    <w:basedOn w:val="Policepardfaut"/>
    <w:link w:val="Titre1"/>
    <w:uiPriority w:val="9"/>
    <w:rsid w:val="004D7D2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D7D2C"/>
    <w:pPr>
      <w:outlineLvl w:val="9"/>
    </w:pPr>
    <w:rPr>
      <w:lang w:eastAsia="fr-FR"/>
    </w:rPr>
  </w:style>
  <w:style w:type="paragraph" w:styleId="TM1">
    <w:name w:val="toc 1"/>
    <w:basedOn w:val="Normal"/>
    <w:next w:val="Normal"/>
    <w:autoRedefine/>
    <w:uiPriority w:val="39"/>
    <w:unhideWhenUsed/>
    <w:rsid w:val="004D7D2C"/>
    <w:pPr>
      <w:spacing w:after="100"/>
    </w:pPr>
  </w:style>
  <w:style w:type="character" w:styleId="Lienhypertexte">
    <w:name w:val="Hyperlink"/>
    <w:basedOn w:val="Policepardfaut"/>
    <w:uiPriority w:val="99"/>
    <w:unhideWhenUsed/>
    <w:rsid w:val="004D7D2C"/>
    <w:rPr>
      <w:color w:val="0563C1" w:themeColor="hyperlink"/>
      <w:u w:val="single"/>
    </w:rPr>
  </w:style>
  <w:style w:type="paragraph" w:styleId="Paragraphedeliste">
    <w:name w:val="List Paragraph"/>
    <w:basedOn w:val="Normal"/>
    <w:uiPriority w:val="34"/>
    <w:qFormat/>
    <w:rsid w:val="004F6F65"/>
    <w:pPr>
      <w:ind w:left="720"/>
      <w:contextualSpacing/>
    </w:pPr>
  </w:style>
  <w:style w:type="paragraph" w:customStyle="1" w:styleId="REGLEMENT">
    <w:name w:val="REGLEMENT"/>
    <w:rsid w:val="00DD6F90"/>
    <w:pPr>
      <w:spacing w:after="0" w:line="240" w:lineRule="auto"/>
      <w:ind w:right="27"/>
      <w:jc w:val="both"/>
    </w:pPr>
    <w:rPr>
      <w:rFonts w:ascii="Palatino" w:eastAsia="Times New Roman" w:hAnsi="Palatino" w:cs="Times New Roman"/>
      <w:sz w:val="24"/>
      <w:szCs w:val="24"/>
      <w:lang w:eastAsia="fr-FR"/>
    </w:rPr>
  </w:style>
  <w:style w:type="paragraph" w:styleId="NormalWeb">
    <w:name w:val="Normal (Web)"/>
    <w:basedOn w:val="Normal"/>
    <w:uiPriority w:val="99"/>
    <w:semiHidden/>
    <w:unhideWhenUsed/>
    <w:rsid w:val="003B71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63188"/>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F6081B"/>
    <w:pPr>
      <w:spacing w:after="100"/>
      <w:ind w:left="220"/>
    </w:pPr>
  </w:style>
  <w:style w:type="character" w:customStyle="1" w:styleId="Titre3Car">
    <w:name w:val="Titre 3 Car"/>
    <w:basedOn w:val="Policepardfaut"/>
    <w:link w:val="Titre3"/>
    <w:uiPriority w:val="9"/>
    <w:rsid w:val="0060444B"/>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1B1493"/>
    <w:pPr>
      <w:spacing w:after="100"/>
      <w:ind w:left="440"/>
    </w:pPr>
  </w:style>
  <w:style w:type="paragraph" w:styleId="Textedebulles">
    <w:name w:val="Balloon Text"/>
    <w:basedOn w:val="Normal"/>
    <w:link w:val="TextedebullesCar"/>
    <w:uiPriority w:val="99"/>
    <w:semiHidden/>
    <w:unhideWhenUsed/>
    <w:rsid w:val="00933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E10"/>
    <w:rPr>
      <w:rFonts w:ascii="Tahoma" w:hAnsi="Tahoma" w:cs="Tahoma"/>
      <w:sz w:val="16"/>
      <w:szCs w:val="16"/>
    </w:rPr>
  </w:style>
  <w:style w:type="character" w:customStyle="1" w:styleId="Titre4Car">
    <w:name w:val="Titre 4 Car"/>
    <w:basedOn w:val="Policepardfaut"/>
    <w:link w:val="Titre4"/>
    <w:uiPriority w:val="9"/>
    <w:rsid w:val="002C2167"/>
    <w:rPr>
      <w:rFonts w:asciiTheme="majorHAnsi" w:eastAsiaTheme="majorEastAsia" w:hAnsiTheme="majorHAnsi" w:cstheme="majorBidi"/>
      <w:i/>
      <w:iCs/>
      <w:color w:val="2E74B5" w:themeColor="accent1" w:themeShade="BF"/>
    </w:rPr>
  </w:style>
  <w:style w:type="character" w:customStyle="1" w:styleId="fontstyle01">
    <w:name w:val="fontstyle01"/>
    <w:basedOn w:val="Policepardfaut"/>
    <w:rsid w:val="009F1ADE"/>
    <w:rPr>
      <w:rFonts w:ascii="Times-Bold" w:hAnsi="Times-Bold" w:hint="default"/>
      <w:b/>
      <w:bCs/>
      <w:i w:val="0"/>
      <w:iCs w:val="0"/>
      <w:color w:val="000000"/>
      <w:sz w:val="24"/>
      <w:szCs w:val="24"/>
    </w:rPr>
  </w:style>
  <w:style w:type="character" w:customStyle="1" w:styleId="fontstyle21">
    <w:name w:val="fontstyle21"/>
    <w:basedOn w:val="Policepardfaut"/>
    <w:rsid w:val="009F1ADE"/>
    <w:rPr>
      <w:rFonts w:ascii="Times-Roman" w:hAnsi="Times-Roman" w:hint="default"/>
      <w:b w:val="0"/>
      <w:bCs w:val="0"/>
      <w:i w:val="0"/>
      <w:iCs w:val="0"/>
      <w:color w:val="000000"/>
      <w:sz w:val="24"/>
      <w:szCs w:val="24"/>
    </w:rPr>
  </w:style>
  <w:style w:type="paragraph" w:styleId="Corpsdetexte">
    <w:name w:val="Body Text"/>
    <w:basedOn w:val="Normal"/>
    <w:link w:val="CorpsdetexteCar"/>
    <w:rsid w:val="00686F28"/>
    <w:pPr>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basedOn w:val="Policepardfaut"/>
    <w:link w:val="Corpsdetexte"/>
    <w:rsid w:val="00686F2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66772">
      <w:bodyDiv w:val="1"/>
      <w:marLeft w:val="0"/>
      <w:marRight w:val="0"/>
      <w:marTop w:val="0"/>
      <w:marBottom w:val="0"/>
      <w:divBdr>
        <w:top w:val="none" w:sz="0" w:space="0" w:color="auto"/>
        <w:left w:val="none" w:sz="0" w:space="0" w:color="auto"/>
        <w:bottom w:val="none" w:sz="0" w:space="0" w:color="auto"/>
        <w:right w:val="none" w:sz="0" w:space="0" w:color="auto"/>
      </w:divBdr>
      <w:divsChild>
        <w:div w:id="1333294954">
          <w:marLeft w:val="0"/>
          <w:marRight w:val="0"/>
          <w:marTop w:val="0"/>
          <w:marBottom w:val="0"/>
          <w:divBdr>
            <w:top w:val="none" w:sz="0" w:space="0" w:color="auto"/>
            <w:left w:val="none" w:sz="0" w:space="0" w:color="auto"/>
            <w:bottom w:val="none" w:sz="0" w:space="0" w:color="auto"/>
            <w:right w:val="none" w:sz="0" w:space="0" w:color="auto"/>
          </w:divBdr>
          <w:divsChild>
            <w:div w:id="1935553880">
              <w:marLeft w:val="0"/>
              <w:marRight w:val="0"/>
              <w:marTop w:val="0"/>
              <w:marBottom w:val="0"/>
              <w:divBdr>
                <w:top w:val="none" w:sz="0" w:space="0" w:color="auto"/>
                <w:left w:val="none" w:sz="0" w:space="0" w:color="auto"/>
                <w:bottom w:val="none" w:sz="0" w:space="0" w:color="auto"/>
                <w:right w:val="none" w:sz="0" w:space="0" w:color="auto"/>
              </w:divBdr>
            </w:div>
            <w:div w:id="426078148">
              <w:marLeft w:val="0"/>
              <w:marRight w:val="0"/>
              <w:marTop w:val="0"/>
              <w:marBottom w:val="0"/>
              <w:divBdr>
                <w:top w:val="none" w:sz="0" w:space="0" w:color="auto"/>
                <w:left w:val="none" w:sz="0" w:space="0" w:color="auto"/>
                <w:bottom w:val="none" w:sz="0" w:space="0" w:color="auto"/>
                <w:right w:val="none" w:sz="0" w:space="0" w:color="auto"/>
              </w:divBdr>
            </w:div>
            <w:div w:id="1778133984">
              <w:marLeft w:val="0"/>
              <w:marRight w:val="0"/>
              <w:marTop w:val="0"/>
              <w:marBottom w:val="0"/>
              <w:divBdr>
                <w:top w:val="none" w:sz="0" w:space="0" w:color="auto"/>
                <w:left w:val="none" w:sz="0" w:space="0" w:color="auto"/>
                <w:bottom w:val="none" w:sz="0" w:space="0" w:color="auto"/>
                <w:right w:val="none" w:sz="0" w:space="0" w:color="auto"/>
              </w:divBdr>
            </w:div>
          </w:divsChild>
        </w:div>
        <w:div w:id="1592929680">
          <w:marLeft w:val="0"/>
          <w:marRight w:val="0"/>
          <w:marTop w:val="0"/>
          <w:marBottom w:val="0"/>
          <w:divBdr>
            <w:top w:val="none" w:sz="0" w:space="0" w:color="auto"/>
            <w:left w:val="none" w:sz="0" w:space="0" w:color="auto"/>
            <w:bottom w:val="none" w:sz="0" w:space="0" w:color="auto"/>
            <w:right w:val="none" w:sz="0" w:space="0" w:color="auto"/>
          </w:divBdr>
          <w:divsChild>
            <w:div w:id="1124884756">
              <w:marLeft w:val="0"/>
              <w:marRight w:val="0"/>
              <w:marTop w:val="0"/>
              <w:marBottom w:val="0"/>
              <w:divBdr>
                <w:top w:val="none" w:sz="0" w:space="0" w:color="auto"/>
                <w:left w:val="none" w:sz="0" w:space="0" w:color="auto"/>
                <w:bottom w:val="none" w:sz="0" w:space="0" w:color="auto"/>
                <w:right w:val="none" w:sz="0" w:space="0" w:color="auto"/>
              </w:divBdr>
            </w:div>
            <w:div w:id="1870755174">
              <w:marLeft w:val="0"/>
              <w:marRight w:val="0"/>
              <w:marTop w:val="0"/>
              <w:marBottom w:val="0"/>
              <w:divBdr>
                <w:top w:val="none" w:sz="0" w:space="0" w:color="auto"/>
                <w:left w:val="none" w:sz="0" w:space="0" w:color="auto"/>
                <w:bottom w:val="none" w:sz="0" w:space="0" w:color="auto"/>
                <w:right w:val="none" w:sz="0" w:space="0" w:color="auto"/>
              </w:divBdr>
            </w:div>
            <w:div w:id="2084600339">
              <w:marLeft w:val="0"/>
              <w:marRight w:val="0"/>
              <w:marTop w:val="0"/>
              <w:marBottom w:val="0"/>
              <w:divBdr>
                <w:top w:val="none" w:sz="0" w:space="0" w:color="auto"/>
                <w:left w:val="none" w:sz="0" w:space="0" w:color="auto"/>
                <w:bottom w:val="none" w:sz="0" w:space="0" w:color="auto"/>
                <w:right w:val="none" w:sz="0" w:space="0" w:color="auto"/>
              </w:divBdr>
            </w:div>
          </w:divsChild>
        </w:div>
        <w:div w:id="983705533">
          <w:marLeft w:val="0"/>
          <w:marRight w:val="0"/>
          <w:marTop w:val="0"/>
          <w:marBottom w:val="0"/>
          <w:divBdr>
            <w:top w:val="none" w:sz="0" w:space="0" w:color="auto"/>
            <w:left w:val="none" w:sz="0" w:space="0" w:color="auto"/>
            <w:bottom w:val="none" w:sz="0" w:space="0" w:color="auto"/>
            <w:right w:val="none" w:sz="0" w:space="0" w:color="auto"/>
          </w:divBdr>
          <w:divsChild>
            <w:div w:id="216597452">
              <w:marLeft w:val="0"/>
              <w:marRight w:val="0"/>
              <w:marTop w:val="0"/>
              <w:marBottom w:val="0"/>
              <w:divBdr>
                <w:top w:val="none" w:sz="0" w:space="0" w:color="auto"/>
                <w:left w:val="none" w:sz="0" w:space="0" w:color="auto"/>
                <w:bottom w:val="none" w:sz="0" w:space="0" w:color="auto"/>
                <w:right w:val="none" w:sz="0" w:space="0" w:color="auto"/>
              </w:divBdr>
            </w:div>
            <w:div w:id="754210408">
              <w:marLeft w:val="0"/>
              <w:marRight w:val="0"/>
              <w:marTop w:val="0"/>
              <w:marBottom w:val="0"/>
              <w:divBdr>
                <w:top w:val="none" w:sz="0" w:space="0" w:color="auto"/>
                <w:left w:val="none" w:sz="0" w:space="0" w:color="auto"/>
                <w:bottom w:val="none" w:sz="0" w:space="0" w:color="auto"/>
                <w:right w:val="none" w:sz="0" w:space="0" w:color="auto"/>
              </w:divBdr>
            </w:div>
            <w:div w:id="1714186816">
              <w:marLeft w:val="0"/>
              <w:marRight w:val="0"/>
              <w:marTop w:val="0"/>
              <w:marBottom w:val="0"/>
              <w:divBdr>
                <w:top w:val="none" w:sz="0" w:space="0" w:color="auto"/>
                <w:left w:val="none" w:sz="0" w:space="0" w:color="auto"/>
                <w:bottom w:val="none" w:sz="0" w:space="0" w:color="auto"/>
                <w:right w:val="none" w:sz="0" w:space="0" w:color="auto"/>
              </w:divBdr>
            </w:div>
          </w:divsChild>
        </w:div>
        <w:div w:id="1351836073">
          <w:marLeft w:val="0"/>
          <w:marRight w:val="0"/>
          <w:marTop w:val="0"/>
          <w:marBottom w:val="0"/>
          <w:divBdr>
            <w:top w:val="none" w:sz="0" w:space="0" w:color="auto"/>
            <w:left w:val="none" w:sz="0" w:space="0" w:color="auto"/>
            <w:bottom w:val="none" w:sz="0" w:space="0" w:color="auto"/>
            <w:right w:val="none" w:sz="0" w:space="0" w:color="auto"/>
          </w:divBdr>
          <w:divsChild>
            <w:div w:id="457912929">
              <w:marLeft w:val="0"/>
              <w:marRight w:val="0"/>
              <w:marTop w:val="0"/>
              <w:marBottom w:val="0"/>
              <w:divBdr>
                <w:top w:val="none" w:sz="0" w:space="0" w:color="auto"/>
                <w:left w:val="none" w:sz="0" w:space="0" w:color="auto"/>
                <w:bottom w:val="none" w:sz="0" w:space="0" w:color="auto"/>
                <w:right w:val="none" w:sz="0" w:space="0" w:color="auto"/>
              </w:divBdr>
            </w:div>
            <w:div w:id="1060133722">
              <w:marLeft w:val="0"/>
              <w:marRight w:val="0"/>
              <w:marTop w:val="0"/>
              <w:marBottom w:val="0"/>
              <w:divBdr>
                <w:top w:val="none" w:sz="0" w:space="0" w:color="auto"/>
                <w:left w:val="none" w:sz="0" w:space="0" w:color="auto"/>
                <w:bottom w:val="none" w:sz="0" w:space="0" w:color="auto"/>
                <w:right w:val="none" w:sz="0" w:space="0" w:color="auto"/>
              </w:divBdr>
            </w:div>
            <w:div w:id="9475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602">
      <w:bodyDiv w:val="1"/>
      <w:marLeft w:val="0"/>
      <w:marRight w:val="0"/>
      <w:marTop w:val="0"/>
      <w:marBottom w:val="0"/>
      <w:divBdr>
        <w:top w:val="none" w:sz="0" w:space="0" w:color="auto"/>
        <w:left w:val="none" w:sz="0" w:space="0" w:color="auto"/>
        <w:bottom w:val="none" w:sz="0" w:space="0" w:color="auto"/>
        <w:right w:val="none" w:sz="0" w:space="0" w:color="auto"/>
      </w:divBdr>
    </w:div>
    <w:div w:id="1294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31211420&amp;dateTexte=&amp;categorieLien=cid" TargetMode="External"/><Relationship Id="rId13" Type="http://schemas.openxmlformats.org/officeDocument/2006/relationships/hyperlink" Target="https://www.legifrance.gouv.fr/affichCodeArticle.do?cidTexte=LEGITEXT000006070633&amp;idArticle=LEGIARTI00000639007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075&amp;idArticle=LEGIARTI000031210816&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75&amp;idArticle=LEGIARTI000031210812&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CodeArticle.do?cidTexte=LEGITEXT000006074075&amp;idArticle=LEGIARTI000031211221&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75&amp;idArticle=LEGIARTI000031211221&amp;dateTexte=&amp;categorieLien=cid" TargetMode="External"/><Relationship Id="rId14" Type="http://schemas.openxmlformats.org/officeDocument/2006/relationships/hyperlink" Target="https://www.legifrance.gouv.fr/affichCodeArticle.do?cidTexte=LEGITEXT000006070633&amp;idArticle=LEGIARTI00000639007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B359-18D1-4049-A220-8BD1A84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8292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BERTRAND</dc:creator>
  <cp:lastModifiedBy>Hervé Tillard</cp:lastModifiedBy>
  <cp:revision>2</cp:revision>
  <dcterms:created xsi:type="dcterms:W3CDTF">2024-02-14T13:34:00Z</dcterms:created>
  <dcterms:modified xsi:type="dcterms:W3CDTF">2024-02-14T13:34:00Z</dcterms:modified>
</cp:coreProperties>
</file>